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B3C22" w14:textId="77777777" w:rsidR="005216E6" w:rsidRPr="004F64EE" w:rsidRDefault="005216E6" w:rsidP="004F64EE">
      <w:pPr>
        <w:pStyle w:val="BalloonText"/>
        <w:jc w:val="center"/>
        <w:rPr>
          <w:b/>
          <w:sz w:val="21"/>
          <w:szCs w:val="21"/>
        </w:rPr>
      </w:pPr>
      <w:bookmarkStart w:id="0" w:name="_GoBack"/>
      <w:bookmarkEnd w:id="0"/>
      <w:r w:rsidRPr="004F64EE">
        <w:rPr>
          <w:rFonts w:ascii="Arial" w:hAnsi="Arial"/>
          <w:b/>
          <w:sz w:val="21"/>
          <w:szCs w:val="21"/>
        </w:rPr>
        <w:t>UNITED STATES</w:t>
      </w:r>
    </w:p>
    <w:p w14:paraId="23AB3C23" w14:textId="77777777" w:rsidR="005216E6" w:rsidRPr="009330F6" w:rsidRDefault="005216E6" w:rsidP="00E51072">
      <w:pPr>
        <w:jc w:val="center"/>
        <w:rPr>
          <w:b/>
          <w:sz w:val="21"/>
          <w:szCs w:val="21"/>
        </w:rPr>
      </w:pPr>
      <w:r w:rsidRPr="009330F6">
        <w:rPr>
          <w:b/>
          <w:sz w:val="21"/>
          <w:szCs w:val="21"/>
        </w:rPr>
        <w:t>SECURITIES AND EXCHANGE COMMISSION</w:t>
      </w:r>
    </w:p>
    <w:p w14:paraId="23AB3C24" w14:textId="77777777" w:rsidR="005216E6" w:rsidRPr="009330F6" w:rsidRDefault="005216E6" w:rsidP="00E51072">
      <w:pPr>
        <w:jc w:val="center"/>
        <w:rPr>
          <w:b/>
          <w:sz w:val="21"/>
          <w:szCs w:val="21"/>
        </w:rPr>
      </w:pPr>
      <w:smartTag w:uri="urn:schemas-microsoft-com:office:smarttags" w:element="City">
        <w:smartTag w:uri="urn:schemas-microsoft-com:office:smarttags" w:element="place">
          <w:r w:rsidRPr="009330F6">
            <w:rPr>
              <w:b/>
              <w:sz w:val="21"/>
              <w:szCs w:val="21"/>
            </w:rPr>
            <w:t>WASHINGTON</w:t>
          </w:r>
        </w:smartTag>
        <w:r w:rsidRPr="009330F6">
          <w:rPr>
            <w:b/>
            <w:sz w:val="21"/>
            <w:szCs w:val="21"/>
          </w:rPr>
          <w:t xml:space="preserve">, </w:t>
        </w:r>
        <w:smartTag w:uri="urn:schemas-microsoft-com:office:smarttags" w:element="State">
          <w:r w:rsidRPr="009330F6">
            <w:rPr>
              <w:b/>
              <w:sz w:val="21"/>
              <w:szCs w:val="21"/>
            </w:rPr>
            <w:t>D.C.</w:t>
          </w:r>
        </w:smartTag>
        <w:r w:rsidRPr="009330F6">
          <w:rPr>
            <w:b/>
            <w:sz w:val="21"/>
            <w:szCs w:val="21"/>
          </w:rPr>
          <w:t xml:space="preserve"> </w:t>
        </w:r>
        <w:smartTag w:uri="urn:schemas-microsoft-com:office:smarttags" w:element="PostalCode">
          <w:r w:rsidRPr="009330F6">
            <w:rPr>
              <w:b/>
              <w:sz w:val="21"/>
              <w:szCs w:val="21"/>
            </w:rPr>
            <w:t>20549</w:t>
          </w:r>
        </w:smartTag>
      </w:smartTag>
    </w:p>
    <w:p w14:paraId="23AB3C25" w14:textId="77777777" w:rsidR="005216E6" w:rsidRPr="009330F6" w:rsidRDefault="005216E6" w:rsidP="00E51072">
      <w:pPr>
        <w:jc w:val="center"/>
        <w:rPr>
          <w:b/>
          <w:sz w:val="21"/>
          <w:szCs w:val="21"/>
        </w:rPr>
      </w:pPr>
    </w:p>
    <w:p w14:paraId="23AB3C26" w14:textId="77777777" w:rsidR="005216E6" w:rsidRPr="009330F6" w:rsidRDefault="005216E6" w:rsidP="00E51072">
      <w:pPr>
        <w:jc w:val="center"/>
        <w:rPr>
          <w:b/>
          <w:sz w:val="21"/>
          <w:szCs w:val="21"/>
        </w:rPr>
      </w:pPr>
      <w:r w:rsidRPr="009330F6">
        <w:rPr>
          <w:b/>
          <w:sz w:val="21"/>
          <w:szCs w:val="21"/>
        </w:rPr>
        <w:t>SCHEDULE 14A</w:t>
      </w:r>
    </w:p>
    <w:p w14:paraId="23AB3C27" w14:textId="77777777" w:rsidR="005216E6" w:rsidRPr="009330F6" w:rsidRDefault="005216E6" w:rsidP="00E51072">
      <w:pPr>
        <w:rPr>
          <w:sz w:val="21"/>
          <w:szCs w:val="21"/>
        </w:rPr>
      </w:pPr>
    </w:p>
    <w:p w14:paraId="23AB3C28" w14:textId="77777777" w:rsidR="005216E6" w:rsidRPr="009330F6" w:rsidRDefault="005216E6" w:rsidP="00E51072">
      <w:pPr>
        <w:jc w:val="center"/>
        <w:rPr>
          <w:sz w:val="21"/>
          <w:szCs w:val="21"/>
        </w:rPr>
      </w:pPr>
      <w:r w:rsidRPr="009330F6">
        <w:rPr>
          <w:sz w:val="21"/>
          <w:szCs w:val="21"/>
        </w:rPr>
        <w:t>Proxy Statement Pursuant to Section 14(a) of the Securities Exchange Act of 1934</w:t>
      </w:r>
    </w:p>
    <w:p w14:paraId="23AB3C29" w14:textId="77777777" w:rsidR="005216E6" w:rsidRPr="009330F6" w:rsidRDefault="005216E6" w:rsidP="00E51072">
      <w:pPr>
        <w:jc w:val="center"/>
        <w:rPr>
          <w:sz w:val="21"/>
          <w:szCs w:val="21"/>
        </w:rPr>
      </w:pPr>
      <w:r w:rsidRPr="009330F6">
        <w:rPr>
          <w:sz w:val="21"/>
          <w:szCs w:val="21"/>
        </w:rPr>
        <w:t>(Amendment No.         )</w:t>
      </w:r>
    </w:p>
    <w:p w14:paraId="23AB3C2A" w14:textId="77777777" w:rsidR="005216E6" w:rsidRPr="009330F6" w:rsidRDefault="005216E6" w:rsidP="00E51072">
      <w:pPr>
        <w:rPr>
          <w:sz w:val="21"/>
          <w:szCs w:val="21"/>
        </w:rPr>
      </w:pPr>
    </w:p>
    <w:p w14:paraId="23AB3C2B" w14:textId="77777777" w:rsidR="005216E6" w:rsidRPr="009330F6" w:rsidRDefault="005216E6" w:rsidP="00E51072">
      <w:pPr>
        <w:rPr>
          <w:sz w:val="21"/>
          <w:szCs w:val="21"/>
        </w:rPr>
      </w:pPr>
      <w:r w:rsidRPr="009330F6">
        <w:rPr>
          <w:sz w:val="21"/>
          <w:szCs w:val="21"/>
        </w:rPr>
        <w:t xml:space="preserve">Filed by the Registrant [ X ]      </w:t>
      </w:r>
      <w:r w:rsidR="00A60FFF">
        <w:rPr>
          <w:sz w:val="21"/>
          <w:szCs w:val="21"/>
        </w:rPr>
        <w:t xml:space="preserve"> </w:t>
      </w:r>
      <w:r w:rsidRPr="009330F6">
        <w:rPr>
          <w:sz w:val="21"/>
          <w:szCs w:val="21"/>
        </w:rPr>
        <w:t xml:space="preserve"> Filed by a Party other than the Registrant [    ]</w:t>
      </w:r>
    </w:p>
    <w:p w14:paraId="23AB3C2C" w14:textId="77777777" w:rsidR="005216E6" w:rsidRPr="009330F6" w:rsidRDefault="005216E6" w:rsidP="00E51072">
      <w:pPr>
        <w:rPr>
          <w:sz w:val="21"/>
          <w:szCs w:val="21"/>
        </w:rPr>
      </w:pPr>
    </w:p>
    <w:p w14:paraId="23AB3C2D" w14:textId="77777777" w:rsidR="005216E6" w:rsidRPr="009330F6" w:rsidRDefault="005216E6" w:rsidP="00E51072">
      <w:pPr>
        <w:rPr>
          <w:sz w:val="21"/>
          <w:szCs w:val="21"/>
        </w:rPr>
      </w:pPr>
      <w:r w:rsidRPr="009330F6">
        <w:rPr>
          <w:sz w:val="21"/>
          <w:szCs w:val="21"/>
        </w:rPr>
        <w:t>Check the appropriate box:</w:t>
      </w:r>
    </w:p>
    <w:p w14:paraId="23AB3C2E" w14:textId="77777777" w:rsidR="005216E6" w:rsidRPr="009330F6" w:rsidRDefault="005216E6" w:rsidP="00E51072">
      <w:pPr>
        <w:rPr>
          <w:sz w:val="21"/>
          <w:szCs w:val="21"/>
        </w:rPr>
      </w:pPr>
    </w:p>
    <w:p w14:paraId="23AB3C2F" w14:textId="77777777" w:rsidR="005216E6" w:rsidRPr="009330F6" w:rsidRDefault="005216E6" w:rsidP="00E51072">
      <w:pPr>
        <w:tabs>
          <w:tab w:val="left" w:pos="360"/>
        </w:tabs>
        <w:rPr>
          <w:sz w:val="21"/>
          <w:szCs w:val="21"/>
        </w:rPr>
      </w:pPr>
      <w:r w:rsidRPr="009330F6">
        <w:rPr>
          <w:sz w:val="21"/>
          <w:szCs w:val="21"/>
        </w:rPr>
        <w:t xml:space="preserve">[  </w:t>
      </w:r>
      <w:r w:rsidRPr="009330F6">
        <w:rPr>
          <w:sz w:val="21"/>
          <w:szCs w:val="21"/>
        </w:rPr>
        <w:tab/>
        <w:t xml:space="preserve">]  </w:t>
      </w:r>
      <w:r w:rsidRPr="009330F6">
        <w:rPr>
          <w:sz w:val="21"/>
          <w:szCs w:val="21"/>
        </w:rPr>
        <w:tab/>
        <w:t>Preliminary Proxy Statement</w:t>
      </w:r>
    </w:p>
    <w:p w14:paraId="23AB3C30" w14:textId="77777777" w:rsidR="005216E6" w:rsidRPr="009330F6" w:rsidRDefault="005216E6" w:rsidP="00E51072">
      <w:pPr>
        <w:tabs>
          <w:tab w:val="left" w:pos="360"/>
        </w:tabs>
        <w:rPr>
          <w:sz w:val="21"/>
          <w:szCs w:val="21"/>
        </w:rPr>
      </w:pPr>
      <w:r w:rsidRPr="009330F6">
        <w:rPr>
          <w:sz w:val="21"/>
          <w:szCs w:val="21"/>
        </w:rPr>
        <w:t xml:space="preserve">[  </w:t>
      </w:r>
      <w:r w:rsidRPr="009330F6">
        <w:rPr>
          <w:sz w:val="21"/>
          <w:szCs w:val="21"/>
        </w:rPr>
        <w:tab/>
        <w:t xml:space="preserve">]  </w:t>
      </w:r>
      <w:r w:rsidRPr="009330F6">
        <w:rPr>
          <w:sz w:val="21"/>
          <w:szCs w:val="21"/>
        </w:rPr>
        <w:tab/>
        <w:t>Confidential, for Use of the Commission Only (as permitted by Rule 14a-6(e)(2))</w:t>
      </w:r>
    </w:p>
    <w:p w14:paraId="23AB3C31" w14:textId="77777777" w:rsidR="005216E6" w:rsidRPr="009330F6" w:rsidRDefault="005216E6" w:rsidP="00E51072">
      <w:pPr>
        <w:tabs>
          <w:tab w:val="left" w:pos="360"/>
        </w:tabs>
        <w:rPr>
          <w:sz w:val="21"/>
          <w:szCs w:val="21"/>
        </w:rPr>
      </w:pPr>
      <w:r w:rsidRPr="009330F6">
        <w:rPr>
          <w:sz w:val="21"/>
          <w:szCs w:val="21"/>
        </w:rPr>
        <w:t>[ X</w:t>
      </w:r>
      <w:r w:rsidRPr="009330F6">
        <w:rPr>
          <w:sz w:val="21"/>
          <w:szCs w:val="21"/>
        </w:rPr>
        <w:tab/>
        <w:t>]</w:t>
      </w:r>
      <w:r w:rsidRPr="009330F6">
        <w:rPr>
          <w:sz w:val="21"/>
          <w:szCs w:val="21"/>
        </w:rPr>
        <w:tab/>
        <w:t>Definitive Proxy Statement</w:t>
      </w:r>
    </w:p>
    <w:p w14:paraId="23AB3C32" w14:textId="77777777" w:rsidR="005216E6" w:rsidRPr="009330F6" w:rsidRDefault="005216E6" w:rsidP="00E51072">
      <w:pPr>
        <w:tabs>
          <w:tab w:val="left" w:pos="360"/>
        </w:tabs>
        <w:rPr>
          <w:sz w:val="21"/>
          <w:szCs w:val="21"/>
        </w:rPr>
      </w:pPr>
      <w:r w:rsidRPr="009330F6">
        <w:rPr>
          <w:sz w:val="21"/>
          <w:szCs w:val="21"/>
        </w:rPr>
        <w:t xml:space="preserve">[   </w:t>
      </w:r>
      <w:r w:rsidRPr="009330F6">
        <w:rPr>
          <w:sz w:val="21"/>
          <w:szCs w:val="21"/>
        </w:rPr>
        <w:tab/>
        <w:t xml:space="preserve">]  </w:t>
      </w:r>
      <w:r w:rsidRPr="009330F6">
        <w:rPr>
          <w:sz w:val="21"/>
          <w:szCs w:val="21"/>
        </w:rPr>
        <w:tab/>
        <w:t>Definitive Additional Materials</w:t>
      </w:r>
    </w:p>
    <w:p w14:paraId="23AB3C33" w14:textId="77777777" w:rsidR="005216E6" w:rsidRPr="009330F6" w:rsidRDefault="005216E6" w:rsidP="00E51072">
      <w:pPr>
        <w:tabs>
          <w:tab w:val="left" w:pos="360"/>
        </w:tabs>
        <w:rPr>
          <w:sz w:val="21"/>
          <w:szCs w:val="21"/>
        </w:rPr>
      </w:pPr>
      <w:r w:rsidRPr="009330F6">
        <w:rPr>
          <w:sz w:val="21"/>
          <w:szCs w:val="21"/>
        </w:rPr>
        <w:t xml:space="preserve">[   </w:t>
      </w:r>
      <w:r w:rsidRPr="009330F6">
        <w:rPr>
          <w:sz w:val="21"/>
          <w:szCs w:val="21"/>
        </w:rPr>
        <w:tab/>
        <w:t xml:space="preserve">]  </w:t>
      </w:r>
      <w:r w:rsidRPr="009330F6">
        <w:rPr>
          <w:sz w:val="21"/>
          <w:szCs w:val="21"/>
        </w:rPr>
        <w:tab/>
        <w:t>Soliciting Material Pursuant to Section 240.14a-12</w:t>
      </w:r>
    </w:p>
    <w:p w14:paraId="23AB3C34" w14:textId="77777777" w:rsidR="005216E6" w:rsidRPr="009330F6" w:rsidRDefault="005216E6" w:rsidP="00E51072">
      <w:pPr>
        <w:rPr>
          <w:sz w:val="21"/>
          <w:szCs w:val="21"/>
        </w:rPr>
      </w:pPr>
    </w:p>
    <w:p w14:paraId="23AB3C35" w14:textId="77777777" w:rsidR="005216E6" w:rsidRPr="009330F6" w:rsidRDefault="005216E6" w:rsidP="00E51072">
      <w:pPr>
        <w:jc w:val="center"/>
        <w:rPr>
          <w:sz w:val="21"/>
          <w:szCs w:val="21"/>
        </w:rPr>
      </w:pPr>
      <w:r w:rsidRPr="00E51072">
        <w:rPr>
          <w:b/>
          <w:sz w:val="32"/>
          <w:szCs w:val="32"/>
        </w:rPr>
        <w:t>United-Guardian, Inc</w:t>
      </w:r>
      <w:r w:rsidRPr="009330F6">
        <w:rPr>
          <w:b/>
          <w:sz w:val="21"/>
          <w:szCs w:val="21"/>
        </w:rPr>
        <w:t>.</w:t>
      </w:r>
      <w:r w:rsidR="003B4D5F">
        <w:rPr>
          <w:sz w:val="21"/>
          <w:szCs w:val="21"/>
        </w:rPr>
        <w:pict w14:anchorId="23AB3F12">
          <v:rect id="_x0000_i1025" style="width:468pt;height:1.5pt" o:hralign="center" o:hrstd="t" o:hrnoshade="t" o:hr="t" fillcolor="black" stroked="f"/>
        </w:pict>
      </w:r>
      <w:r w:rsidRPr="009330F6">
        <w:rPr>
          <w:sz w:val="21"/>
          <w:szCs w:val="21"/>
        </w:rPr>
        <w:t>(Name of Registrant as Specified In Its Charter)</w:t>
      </w:r>
    </w:p>
    <w:p w14:paraId="23AB3C36" w14:textId="77777777" w:rsidR="005216E6" w:rsidRPr="009330F6" w:rsidRDefault="005216E6" w:rsidP="00E51072">
      <w:pPr>
        <w:rPr>
          <w:sz w:val="21"/>
          <w:szCs w:val="21"/>
        </w:rPr>
      </w:pPr>
    </w:p>
    <w:p w14:paraId="23AB3C37" w14:textId="77777777" w:rsidR="005216E6" w:rsidRPr="009330F6" w:rsidRDefault="003B4D5F" w:rsidP="00E51072">
      <w:pPr>
        <w:rPr>
          <w:sz w:val="21"/>
          <w:szCs w:val="21"/>
          <w:u w:val="single"/>
        </w:rPr>
      </w:pPr>
      <w:r>
        <w:rPr>
          <w:sz w:val="21"/>
          <w:szCs w:val="21"/>
        </w:rPr>
        <w:pict w14:anchorId="23AB3F13">
          <v:rect id="_x0000_i1026" style="width:468pt;height:1.5pt" o:hralign="center" o:hrstd="t" o:hrnoshade="t" o:hr="t" fillcolor="black" stroked="f"/>
        </w:pict>
      </w:r>
    </w:p>
    <w:p w14:paraId="23AB3C38" w14:textId="77777777" w:rsidR="005216E6" w:rsidRPr="009330F6" w:rsidRDefault="005216E6" w:rsidP="00E51072">
      <w:pPr>
        <w:jc w:val="center"/>
        <w:rPr>
          <w:sz w:val="21"/>
          <w:szCs w:val="21"/>
        </w:rPr>
      </w:pPr>
      <w:r w:rsidRPr="009330F6">
        <w:rPr>
          <w:sz w:val="21"/>
          <w:szCs w:val="21"/>
        </w:rPr>
        <w:t>(Name of Person(s) Filing Proxy Statement, if other than the Registrant)</w:t>
      </w:r>
    </w:p>
    <w:p w14:paraId="23AB3C39" w14:textId="77777777" w:rsidR="005216E6" w:rsidRPr="009330F6" w:rsidRDefault="005216E6" w:rsidP="009330F6">
      <w:pPr>
        <w:rPr>
          <w:sz w:val="21"/>
          <w:szCs w:val="21"/>
        </w:rPr>
      </w:pPr>
    </w:p>
    <w:p w14:paraId="23AB3C3A" w14:textId="77777777" w:rsidR="005216E6" w:rsidRDefault="005216E6" w:rsidP="00E51072">
      <w:pPr>
        <w:rPr>
          <w:sz w:val="21"/>
          <w:szCs w:val="21"/>
        </w:rPr>
      </w:pPr>
      <w:r w:rsidRPr="009330F6">
        <w:rPr>
          <w:sz w:val="21"/>
          <w:szCs w:val="21"/>
        </w:rPr>
        <w:t>Payment of Filing Fee (Check the appropriate box):</w:t>
      </w:r>
    </w:p>
    <w:p w14:paraId="23AB3C3B" w14:textId="77777777" w:rsidR="005216E6" w:rsidRPr="009330F6" w:rsidRDefault="005216E6" w:rsidP="00E51072">
      <w:pPr>
        <w:rPr>
          <w:sz w:val="21"/>
          <w:szCs w:val="21"/>
        </w:rPr>
      </w:pPr>
    </w:p>
    <w:p w14:paraId="23AB3C3C" w14:textId="77777777" w:rsidR="005216E6" w:rsidRDefault="005216E6" w:rsidP="009330F6">
      <w:pPr>
        <w:tabs>
          <w:tab w:val="left" w:pos="360"/>
        </w:tabs>
        <w:rPr>
          <w:sz w:val="21"/>
          <w:szCs w:val="21"/>
        </w:rPr>
      </w:pPr>
      <w:r w:rsidRPr="009330F6">
        <w:rPr>
          <w:sz w:val="21"/>
          <w:szCs w:val="21"/>
        </w:rPr>
        <w:t>[ X</w:t>
      </w:r>
      <w:r w:rsidRPr="009330F6">
        <w:rPr>
          <w:sz w:val="21"/>
          <w:szCs w:val="21"/>
        </w:rPr>
        <w:tab/>
        <w:t>]  No fee required.</w:t>
      </w:r>
    </w:p>
    <w:p w14:paraId="23AB3C3D" w14:textId="77777777" w:rsidR="005216E6" w:rsidRPr="009330F6" w:rsidRDefault="005216E6" w:rsidP="009330F6">
      <w:pPr>
        <w:tabs>
          <w:tab w:val="left" w:pos="360"/>
        </w:tabs>
        <w:rPr>
          <w:sz w:val="21"/>
          <w:szCs w:val="21"/>
        </w:rPr>
      </w:pPr>
    </w:p>
    <w:p w14:paraId="23AB3C3E" w14:textId="77777777" w:rsidR="005216E6" w:rsidRPr="009330F6" w:rsidRDefault="005216E6" w:rsidP="009330F6">
      <w:pPr>
        <w:tabs>
          <w:tab w:val="left" w:pos="360"/>
        </w:tabs>
        <w:rPr>
          <w:sz w:val="21"/>
          <w:szCs w:val="21"/>
        </w:rPr>
      </w:pPr>
      <w:r w:rsidRPr="009330F6">
        <w:rPr>
          <w:sz w:val="21"/>
          <w:szCs w:val="21"/>
        </w:rPr>
        <w:t xml:space="preserve">[   </w:t>
      </w:r>
      <w:r w:rsidRPr="009330F6">
        <w:rPr>
          <w:sz w:val="21"/>
          <w:szCs w:val="21"/>
        </w:rPr>
        <w:tab/>
        <w:t xml:space="preserve">] </w:t>
      </w:r>
      <w:r>
        <w:rPr>
          <w:sz w:val="21"/>
          <w:szCs w:val="21"/>
        </w:rPr>
        <w:t xml:space="preserve"> </w:t>
      </w:r>
      <w:r w:rsidRPr="009330F6">
        <w:rPr>
          <w:sz w:val="21"/>
          <w:szCs w:val="21"/>
        </w:rPr>
        <w:t>Fee computed on table below per Exchange Act Rules 14a-6(i)(1) and 0-11.</w:t>
      </w:r>
    </w:p>
    <w:p w14:paraId="23AB3C3F" w14:textId="77777777" w:rsidR="005216E6" w:rsidRPr="009330F6" w:rsidRDefault="005216E6" w:rsidP="009330F6">
      <w:pPr>
        <w:ind w:firstLine="720"/>
        <w:rPr>
          <w:sz w:val="21"/>
          <w:szCs w:val="21"/>
        </w:rPr>
      </w:pPr>
    </w:p>
    <w:p w14:paraId="23AB3C40" w14:textId="77777777" w:rsidR="005216E6" w:rsidRPr="009330F6" w:rsidRDefault="005216E6" w:rsidP="009330F6">
      <w:pPr>
        <w:ind w:firstLine="360"/>
        <w:rPr>
          <w:sz w:val="21"/>
          <w:szCs w:val="21"/>
          <w:u w:val="single"/>
        </w:rPr>
      </w:pPr>
      <w:r w:rsidRPr="009330F6">
        <w:rPr>
          <w:sz w:val="21"/>
          <w:szCs w:val="21"/>
        </w:rPr>
        <w:t>1) Title of each class of securities to which transaction applies:</w:t>
      </w:r>
      <w:r w:rsidRPr="009330F6">
        <w:rPr>
          <w:sz w:val="21"/>
          <w:szCs w:val="21"/>
          <w:u w:val="single"/>
        </w:rPr>
        <w:t xml:space="preserve">  </w:t>
      </w:r>
    </w:p>
    <w:p w14:paraId="23AB3C41" w14:textId="77777777" w:rsidR="005216E6" w:rsidRPr="009330F6" w:rsidRDefault="005216E6" w:rsidP="009330F6">
      <w:pPr>
        <w:ind w:firstLine="360"/>
        <w:rPr>
          <w:sz w:val="21"/>
          <w:szCs w:val="21"/>
        </w:rPr>
      </w:pPr>
      <w:r w:rsidRPr="009330F6">
        <w:rPr>
          <w:sz w:val="21"/>
          <w:szCs w:val="21"/>
          <w:u w:val="single"/>
        </w:rPr>
        <w:t xml:space="preserve">                                                                                                                                                                           </w:t>
      </w:r>
    </w:p>
    <w:p w14:paraId="23AB3C42" w14:textId="77777777" w:rsidR="005216E6" w:rsidRPr="009330F6" w:rsidRDefault="003B4D5F" w:rsidP="009330F6">
      <w:pPr>
        <w:ind w:firstLine="360"/>
        <w:rPr>
          <w:sz w:val="21"/>
          <w:szCs w:val="21"/>
        </w:rPr>
      </w:pPr>
      <w:r>
        <w:rPr>
          <w:sz w:val="21"/>
          <w:szCs w:val="21"/>
        </w:rPr>
        <w:pict w14:anchorId="23AB3F14">
          <v:rect id="_x0000_i1027" style="width:468pt;height:1.5pt" o:hralign="center" o:hrstd="t" o:hrnoshade="t" o:hr="t" fillcolor="black" stroked="f"/>
        </w:pict>
      </w:r>
    </w:p>
    <w:p w14:paraId="23AB3C43" w14:textId="77777777" w:rsidR="005216E6" w:rsidRPr="009330F6" w:rsidRDefault="005216E6" w:rsidP="009330F6">
      <w:pPr>
        <w:ind w:firstLine="360"/>
        <w:rPr>
          <w:sz w:val="21"/>
          <w:szCs w:val="21"/>
        </w:rPr>
      </w:pPr>
      <w:r w:rsidRPr="009330F6">
        <w:rPr>
          <w:sz w:val="21"/>
          <w:szCs w:val="21"/>
        </w:rPr>
        <w:t>2) Aggregate number of securities to which transaction applies:</w:t>
      </w:r>
    </w:p>
    <w:p w14:paraId="23AB3C44" w14:textId="77777777" w:rsidR="005216E6" w:rsidRPr="009330F6" w:rsidRDefault="005216E6" w:rsidP="009330F6">
      <w:pPr>
        <w:ind w:firstLine="360"/>
        <w:rPr>
          <w:sz w:val="21"/>
          <w:szCs w:val="21"/>
        </w:rPr>
      </w:pPr>
      <w:r w:rsidRPr="009330F6">
        <w:rPr>
          <w:sz w:val="21"/>
          <w:szCs w:val="21"/>
          <w:u w:val="single"/>
        </w:rPr>
        <w:t xml:space="preserve">                                                                                                                                                                                        </w:t>
      </w:r>
    </w:p>
    <w:p w14:paraId="23AB3C45" w14:textId="77777777" w:rsidR="005216E6" w:rsidRPr="009330F6" w:rsidRDefault="003B4D5F" w:rsidP="009330F6">
      <w:pPr>
        <w:ind w:firstLine="360"/>
        <w:rPr>
          <w:sz w:val="21"/>
          <w:szCs w:val="21"/>
        </w:rPr>
      </w:pPr>
      <w:r>
        <w:rPr>
          <w:sz w:val="21"/>
          <w:szCs w:val="21"/>
        </w:rPr>
        <w:pict w14:anchorId="23AB3F15">
          <v:rect id="_x0000_i1028" style="width:468pt;height:1.5pt" o:hralign="center" o:hrstd="t" o:hrnoshade="t" o:hr="t" fillcolor="black" stroked="f"/>
        </w:pict>
      </w:r>
    </w:p>
    <w:p w14:paraId="23AB3C46" w14:textId="77777777" w:rsidR="005216E6" w:rsidRPr="009330F6" w:rsidRDefault="005216E6" w:rsidP="009330F6">
      <w:pPr>
        <w:ind w:firstLine="360"/>
        <w:rPr>
          <w:sz w:val="21"/>
          <w:szCs w:val="21"/>
        </w:rPr>
      </w:pPr>
      <w:r w:rsidRPr="009330F6">
        <w:rPr>
          <w:sz w:val="21"/>
          <w:szCs w:val="21"/>
        </w:rPr>
        <w:t>3) Per unit price or other underlying value of transaction computed pursuant to Exchange Act Rule 0-11</w:t>
      </w:r>
    </w:p>
    <w:p w14:paraId="23AB3C47" w14:textId="77777777" w:rsidR="005216E6" w:rsidRPr="009330F6" w:rsidRDefault="005216E6" w:rsidP="009330F6">
      <w:pPr>
        <w:ind w:firstLine="360"/>
        <w:rPr>
          <w:sz w:val="21"/>
          <w:szCs w:val="21"/>
        </w:rPr>
      </w:pPr>
      <w:r w:rsidRPr="009330F6">
        <w:rPr>
          <w:sz w:val="21"/>
          <w:szCs w:val="21"/>
        </w:rPr>
        <w:t xml:space="preserve">       (Set forth the amount on which the filing fee is calculated and state how it was determined):</w:t>
      </w:r>
    </w:p>
    <w:p w14:paraId="23AB3C48" w14:textId="77777777" w:rsidR="005216E6" w:rsidRPr="009330F6" w:rsidRDefault="005216E6" w:rsidP="009330F6">
      <w:pPr>
        <w:ind w:firstLine="360"/>
        <w:rPr>
          <w:sz w:val="21"/>
          <w:szCs w:val="21"/>
        </w:rPr>
      </w:pPr>
    </w:p>
    <w:p w14:paraId="23AB3C49" w14:textId="77777777" w:rsidR="005216E6" w:rsidRPr="009330F6" w:rsidRDefault="003B4D5F" w:rsidP="009330F6">
      <w:pPr>
        <w:ind w:firstLine="360"/>
        <w:rPr>
          <w:sz w:val="21"/>
          <w:szCs w:val="21"/>
        </w:rPr>
      </w:pPr>
      <w:r>
        <w:rPr>
          <w:sz w:val="21"/>
          <w:szCs w:val="21"/>
        </w:rPr>
        <w:pict w14:anchorId="23AB3F16">
          <v:rect id="_x0000_i1029" style="width:468pt;height:1.5pt" o:hralign="center" o:hrstd="t" o:hrnoshade="t" o:hr="t" fillcolor="black" stroked="f"/>
        </w:pict>
      </w:r>
    </w:p>
    <w:p w14:paraId="23AB3C4A" w14:textId="77777777" w:rsidR="005216E6" w:rsidRPr="009330F6" w:rsidRDefault="005216E6" w:rsidP="009330F6">
      <w:pPr>
        <w:ind w:firstLine="360"/>
        <w:rPr>
          <w:sz w:val="21"/>
          <w:szCs w:val="21"/>
        </w:rPr>
      </w:pPr>
      <w:r w:rsidRPr="009330F6">
        <w:rPr>
          <w:sz w:val="21"/>
          <w:szCs w:val="21"/>
        </w:rPr>
        <w:t>4) Proposed maximum aggregate value of transaction:</w:t>
      </w:r>
    </w:p>
    <w:p w14:paraId="23AB3C4B" w14:textId="77777777" w:rsidR="005216E6" w:rsidRPr="009330F6" w:rsidRDefault="005216E6" w:rsidP="009330F6">
      <w:pPr>
        <w:ind w:firstLine="360"/>
        <w:rPr>
          <w:sz w:val="21"/>
          <w:szCs w:val="21"/>
          <w:u w:val="single"/>
        </w:rPr>
      </w:pPr>
    </w:p>
    <w:p w14:paraId="23AB3C4C" w14:textId="77777777" w:rsidR="005216E6" w:rsidRPr="009330F6" w:rsidRDefault="003B4D5F" w:rsidP="009330F6">
      <w:pPr>
        <w:ind w:firstLine="360"/>
        <w:rPr>
          <w:sz w:val="21"/>
          <w:szCs w:val="21"/>
        </w:rPr>
      </w:pPr>
      <w:r>
        <w:rPr>
          <w:sz w:val="21"/>
          <w:szCs w:val="21"/>
        </w:rPr>
        <w:pict w14:anchorId="23AB3F17">
          <v:rect id="_x0000_i1030" style="width:468pt;height:1.5pt" o:hralign="center" o:hrstd="t" o:hrnoshade="t" o:hr="t" fillcolor="black" stroked="f"/>
        </w:pict>
      </w:r>
    </w:p>
    <w:p w14:paraId="23AB3C4D" w14:textId="77777777" w:rsidR="005216E6" w:rsidRPr="009330F6" w:rsidRDefault="005216E6" w:rsidP="009330F6">
      <w:pPr>
        <w:pStyle w:val="Header"/>
        <w:tabs>
          <w:tab w:val="clear" w:pos="4320"/>
          <w:tab w:val="clear" w:pos="8640"/>
        </w:tabs>
        <w:ind w:firstLine="360"/>
        <w:rPr>
          <w:sz w:val="21"/>
          <w:szCs w:val="21"/>
        </w:rPr>
      </w:pPr>
      <w:r w:rsidRPr="009330F6">
        <w:rPr>
          <w:sz w:val="21"/>
          <w:szCs w:val="21"/>
        </w:rPr>
        <w:t xml:space="preserve">5) Total fee paid:                                                                                                                                               </w:t>
      </w:r>
    </w:p>
    <w:p w14:paraId="23AB3C4E" w14:textId="77777777" w:rsidR="005216E6" w:rsidRPr="009330F6" w:rsidRDefault="005216E6" w:rsidP="009330F6">
      <w:pPr>
        <w:pStyle w:val="Header"/>
        <w:tabs>
          <w:tab w:val="clear" w:pos="4320"/>
          <w:tab w:val="clear" w:pos="8640"/>
        </w:tabs>
        <w:rPr>
          <w:sz w:val="21"/>
          <w:szCs w:val="21"/>
        </w:rPr>
      </w:pPr>
    </w:p>
    <w:p w14:paraId="23AB3C4F" w14:textId="77777777" w:rsidR="005216E6" w:rsidRPr="009330F6" w:rsidRDefault="005216E6" w:rsidP="009330F6">
      <w:pPr>
        <w:pStyle w:val="Header"/>
        <w:tabs>
          <w:tab w:val="clear" w:pos="4320"/>
          <w:tab w:val="clear" w:pos="8640"/>
          <w:tab w:val="left" w:pos="360"/>
        </w:tabs>
        <w:rPr>
          <w:sz w:val="21"/>
          <w:szCs w:val="21"/>
        </w:rPr>
      </w:pPr>
      <w:r w:rsidRPr="009330F6">
        <w:rPr>
          <w:sz w:val="21"/>
          <w:szCs w:val="21"/>
        </w:rPr>
        <w:t xml:space="preserve">[ </w:t>
      </w:r>
      <w:r w:rsidRPr="009330F6">
        <w:rPr>
          <w:sz w:val="21"/>
          <w:szCs w:val="21"/>
        </w:rPr>
        <w:tab/>
        <w:t>] Fee paid previously with preliminary materials.</w:t>
      </w:r>
    </w:p>
    <w:p w14:paraId="23AB3C50" w14:textId="77777777" w:rsidR="005216E6" w:rsidRPr="009330F6" w:rsidRDefault="005216E6" w:rsidP="009330F6">
      <w:pPr>
        <w:pStyle w:val="Header"/>
        <w:tabs>
          <w:tab w:val="clear" w:pos="4320"/>
          <w:tab w:val="clear" w:pos="8640"/>
          <w:tab w:val="left" w:pos="360"/>
        </w:tabs>
        <w:rPr>
          <w:sz w:val="21"/>
          <w:szCs w:val="21"/>
        </w:rPr>
      </w:pPr>
    </w:p>
    <w:p w14:paraId="23AB3C51" w14:textId="77777777" w:rsidR="005216E6" w:rsidRPr="009330F6" w:rsidRDefault="005216E6" w:rsidP="009330F6">
      <w:pPr>
        <w:tabs>
          <w:tab w:val="left" w:pos="360"/>
        </w:tabs>
        <w:rPr>
          <w:sz w:val="21"/>
          <w:szCs w:val="21"/>
        </w:rPr>
      </w:pPr>
      <w:r w:rsidRPr="009330F6">
        <w:rPr>
          <w:sz w:val="21"/>
          <w:szCs w:val="21"/>
        </w:rPr>
        <w:t xml:space="preserve">[   </w:t>
      </w:r>
      <w:r w:rsidRPr="009330F6">
        <w:rPr>
          <w:sz w:val="21"/>
          <w:szCs w:val="21"/>
        </w:rPr>
        <w:tab/>
        <w:t xml:space="preserve">] Check box if any part of the fee is offset as provided by Exchange Act Rule 0-11(a)(2) and identify the  </w:t>
      </w:r>
    </w:p>
    <w:p w14:paraId="23AB3C52" w14:textId="77777777" w:rsidR="005216E6" w:rsidRPr="009330F6" w:rsidRDefault="005216E6" w:rsidP="009330F6">
      <w:pPr>
        <w:rPr>
          <w:sz w:val="21"/>
          <w:szCs w:val="21"/>
        </w:rPr>
      </w:pPr>
      <w:r w:rsidRPr="009330F6">
        <w:rPr>
          <w:sz w:val="21"/>
          <w:szCs w:val="21"/>
        </w:rPr>
        <w:t xml:space="preserve">           filing for which the offsetting fee was paid previously.  Identify the previous filing by registration</w:t>
      </w:r>
    </w:p>
    <w:p w14:paraId="23AB3C53" w14:textId="77777777" w:rsidR="005216E6" w:rsidRPr="009330F6" w:rsidRDefault="005216E6" w:rsidP="009330F6">
      <w:pPr>
        <w:rPr>
          <w:sz w:val="21"/>
          <w:szCs w:val="21"/>
        </w:rPr>
      </w:pPr>
      <w:r w:rsidRPr="009330F6">
        <w:rPr>
          <w:sz w:val="21"/>
          <w:szCs w:val="21"/>
        </w:rPr>
        <w:t xml:space="preserve">           statement number, or the Form or Schedule and the date of its filing.</w:t>
      </w:r>
    </w:p>
    <w:p w14:paraId="23AB3C54" w14:textId="77777777" w:rsidR="005216E6" w:rsidRPr="009330F6" w:rsidRDefault="005216E6" w:rsidP="009330F6">
      <w:pPr>
        <w:rPr>
          <w:sz w:val="21"/>
          <w:szCs w:val="21"/>
        </w:rPr>
      </w:pPr>
    </w:p>
    <w:p w14:paraId="23AB3C55" w14:textId="77777777" w:rsidR="005216E6" w:rsidRPr="009330F6" w:rsidRDefault="005216E6" w:rsidP="009330F6">
      <w:pPr>
        <w:tabs>
          <w:tab w:val="left" w:pos="7200"/>
        </w:tabs>
        <w:ind w:firstLine="1080"/>
        <w:rPr>
          <w:sz w:val="21"/>
          <w:szCs w:val="21"/>
          <w:u w:val="single"/>
        </w:rPr>
      </w:pPr>
      <w:r w:rsidRPr="009330F6">
        <w:rPr>
          <w:sz w:val="21"/>
          <w:szCs w:val="21"/>
        </w:rPr>
        <w:t>1) Amount Previously Paid:</w:t>
      </w:r>
      <w:r w:rsidRPr="009330F6">
        <w:rPr>
          <w:sz w:val="21"/>
          <w:szCs w:val="21"/>
          <w:u w:val="single"/>
        </w:rPr>
        <w:tab/>
      </w:r>
    </w:p>
    <w:p w14:paraId="23AB3C56" w14:textId="77777777" w:rsidR="005216E6" w:rsidRPr="009330F6" w:rsidRDefault="005216E6" w:rsidP="009330F6">
      <w:pPr>
        <w:tabs>
          <w:tab w:val="left" w:pos="7200"/>
        </w:tabs>
        <w:ind w:firstLine="1080"/>
        <w:rPr>
          <w:sz w:val="21"/>
          <w:szCs w:val="21"/>
        </w:rPr>
      </w:pPr>
      <w:r w:rsidRPr="009330F6">
        <w:rPr>
          <w:sz w:val="21"/>
          <w:szCs w:val="21"/>
        </w:rPr>
        <w:t>2) Form, Schedule or Registration Statement No.:</w:t>
      </w:r>
      <w:r w:rsidRPr="009330F6">
        <w:rPr>
          <w:sz w:val="21"/>
          <w:szCs w:val="21"/>
          <w:u w:val="single"/>
        </w:rPr>
        <w:tab/>
      </w:r>
    </w:p>
    <w:p w14:paraId="23AB3C57" w14:textId="77777777" w:rsidR="005216E6" w:rsidRPr="009330F6" w:rsidRDefault="005216E6" w:rsidP="009330F6">
      <w:pPr>
        <w:tabs>
          <w:tab w:val="left" w:pos="7200"/>
        </w:tabs>
        <w:ind w:firstLine="1080"/>
        <w:rPr>
          <w:sz w:val="21"/>
          <w:szCs w:val="21"/>
          <w:u w:val="single"/>
        </w:rPr>
      </w:pPr>
      <w:r w:rsidRPr="009330F6">
        <w:rPr>
          <w:sz w:val="21"/>
          <w:szCs w:val="21"/>
        </w:rPr>
        <w:t>3) Filing Party:</w:t>
      </w:r>
      <w:r w:rsidRPr="009330F6">
        <w:rPr>
          <w:sz w:val="21"/>
          <w:szCs w:val="21"/>
          <w:u w:val="single"/>
        </w:rPr>
        <w:tab/>
      </w:r>
    </w:p>
    <w:p w14:paraId="23AB3C58" w14:textId="77777777" w:rsidR="005216E6" w:rsidRPr="009330F6" w:rsidRDefault="005216E6" w:rsidP="009330F6">
      <w:pPr>
        <w:tabs>
          <w:tab w:val="left" w:pos="7200"/>
        </w:tabs>
        <w:ind w:firstLine="1080"/>
        <w:rPr>
          <w:sz w:val="21"/>
          <w:szCs w:val="21"/>
          <w:u w:val="single"/>
        </w:rPr>
      </w:pPr>
      <w:r w:rsidRPr="009330F6">
        <w:rPr>
          <w:sz w:val="21"/>
          <w:szCs w:val="21"/>
        </w:rPr>
        <w:t>4) Dated Filed:</w:t>
      </w:r>
      <w:r w:rsidRPr="009330F6">
        <w:rPr>
          <w:sz w:val="21"/>
          <w:szCs w:val="21"/>
          <w:u w:val="single"/>
        </w:rPr>
        <w:tab/>
      </w:r>
    </w:p>
    <w:p w14:paraId="23AB3C59" w14:textId="77777777" w:rsidR="005216E6" w:rsidRPr="009330F6" w:rsidRDefault="005216E6" w:rsidP="009330F6">
      <w:pPr>
        <w:jc w:val="center"/>
        <w:rPr>
          <w:rFonts w:cs="Arial"/>
          <w:sz w:val="21"/>
          <w:szCs w:val="21"/>
        </w:rPr>
        <w:sectPr w:rsidR="005216E6" w:rsidRPr="009330F6" w:rsidSect="004F64EE">
          <w:footerReference w:type="even" r:id="rId7"/>
          <w:footerReference w:type="default" r:id="rId8"/>
          <w:pgSz w:w="12240" w:h="15840" w:code="1"/>
          <w:pgMar w:top="720" w:right="864" w:bottom="1152" w:left="864" w:header="720" w:footer="432" w:gutter="0"/>
          <w:pgNumType w:start="1"/>
          <w:cols w:space="720"/>
          <w:docGrid w:linePitch="360"/>
        </w:sectPr>
      </w:pPr>
    </w:p>
    <w:p w14:paraId="23AB3C5A" w14:textId="77777777" w:rsidR="005216E6" w:rsidRDefault="00244BFC" w:rsidP="00EB2EFB">
      <w:pPr>
        <w:jc w:val="center"/>
        <w:rPr>
          <w:rFonts w:cs="Arial"/>
          <w:sz w:val="22"/>
          <w:szCs w:val="22"/>
        </w:rPr>
      </w:pPr>
      <w:r>
        <w:rPr>
          <w:rFonts w:cs="Arial"/>
          <w:noProof/>
          <w:sz w:val="22"/>
          <w:szCs w:val="22"/>
          <w:lang w:eastAsia="en-US"/>
        </w:rPr>
        <w:lastRenderedPageBreak/>
        <w:drawing>
          <wp:inline distT="0" distB="0" distL="0" distR="0" wp14:anchorId="23AB3F18" wp14:editId="23AB3F19">
            <wp:extent cx="426720" cy="746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746760"/>
                    </a:xfrm>
                    <a:prstGeom prst="rect">
                      <a:avLst/>
                    </a:prstGeom>
                    <a:noFill/>
                    <a:ln>
                      <a:noFill/>
                    </a:ln>
                  </pic:spPr>
                </pic:pic>
              </a:graphicData>
            </a:graphic>
          </wp:inline>
        </w:drawing>
      </w:r>
    </w:p>
    <w:p w14:paraId="23AB3C5B" w14:textId="77777777" w:rsidR="005216E6" w:rsidRDefault="005216E6" w:rsidP="00EB2EFB">
      <w:pPr>
        <w:jc w:val="center"/>
        <w:rPr>
          <w:rFonts w:cs="Arial"/>
          <w:b/>
          <w:sz w:val="28"/>
          <w:szCs w:val="28"/>
        </w:rPr>
      </w:pPr>
    </w:p>
    <w:p w14:paraId="23AB3C5C" w14:textId="77777777" w:rsidR="005216E6" w:rsidRPr="004F64EE" w:rsidRDefault="005216E6" w:rsidP="00EB2EFB">
      <w:pPr>
        <w:rPr>
          <w:rFonts w:ascii="Arial Black" w:hAnsi="Arial Black" w:cs="Arial"/>
          <w:sz w:val="28"/>
          <w:szCs w:val="28"/>
        </w:rPr>
      </w:pPr>
      <w:r>
        <w:rPr>
          <w:rFonts w:ascii="USABlack" w:hAnsi="USABlack"/>
          <w:b/>
          <w:spacing w:val="60"/>
          <w:sz w:val="44"/>
          <w:szCs w:val="44"/>
        </w:rPr>
        <w:t xml:space="preserve">       </w:t>
      </w:r>
      <w:r w:rsidRPr="00F00FC6">
        <w:rPr>
          <w:rFonts w:ascii="USABlack" w:hAnsi="USABlack"/>
          <w:b/>
          <w:spacing w:val="60"/>
          <w:sz w:val="44"/>
          <w:szCs w:val="44"/>
        </w:rPr>
        <w:t xml:space="preserve">       </w:t>
      </w:r>
      <w:r w:rsidRPr="004F64EE">
        <w:rPr>
          <w:rFonts w:ascii="Arial Black" w:hAnsi="Arial Black"/>
          <w:spacing w:val="60"/>
          <w:sz w:val="56"/>
          <w:szCs w:val="56"/>
        </w:rPr>
        <w:t>U</w:t>
      </w:r>
      <w:r w:rsidRPr="004F64EE">
        <w:rPr>
          <w:rFonts w:ascii="Arial Black" w:hAnsi="Arial Black"/>
          <w:spacing w:val="60"/>
          <w:sz w:val="40"/>
          <w:szCs w:val="40"/>
        </w:rPr>
        <w:t>NITED</w:t>
      </w:r>
      <w:r w:rsidRPr="004F64EE">
        <w:rPr>
          <w:rFonts w:ascii="Arial Black" w:hAnsi="Arial Black"/>
          <w:spacing w:val="60"/>
          <w:sz w:val="44"/>
          <w:szCs w:val="44"/>
        </w:rPr>
        <w:t>-</w:t>
      </w:r>
      <w:r w:rsidRPr="004F64EE">
        <w:rPr>
          <w:rFonts w:ascii="Arial Black" w:hAnsi="Arial Black"/>
          <w:spacing w:val="60"/>
          <w:sz w:val="56"/>
          <w:szCs w:val="56"/>
        </w:rPr>
        <w:t>G</w:t>
      </w:r>
      <w:r w:rsidRPr="004F64EE">
        <w:rPr>
          <w:rFonts w:ascii="Arial Black" w:hAnsi="Arial Black"/>
          <w:spacing w:val="60"/>
          <w:sz w:val="40"/>
          <w:szCs w:val="40"/>
        </w:rPr>
        <w:t>UARDIAN</w:t>
      </w:r>
      <w:r w:rsidRPr="004F64EE">
        <w:rPr>
          <w:rFonts w:ascii="Arial Black" w:hAnsi="Arial Black"/>
          <w:spacing w:val="60"/>
          <w:sz w:val="36"/>
          <w:szCs w:val="36"/>
        </w:rPr>
        <w:t xml:space="preserve">, </w:t>
      </w:r>
      <w:r w:rsidRPr="004F64EE">
        <w:rPr>
          <w:rFonts w:ascii="Arial Black" w:hAnsi="Arial Black"/>
          <w:spacing w:val="60"/>
          <w:sz w:val="40"/>
          <w:szCs w:val="40"/>
        </w:rPr>
        <w:t>I</w:t>
      </w:r>
      <w:r w:rsidRPr="004F64EE">
        <w:rPr>
          <w:rFonts w:ascii="Arial Black" w:hAnsi="Arial Black"/>
          <w:spacing w:val="60"/>
          <w:sz w:val="28"/>
          <w:szCs w:val="28"/>
        </w:rPr>
        <w:t>NC</w:t>
      </w:r>
      <w:r w:rsidRPr="004F64EE">
        <w:rPr>
          <w:rFonts w:ascii="Arial Black" w:hAnsi="Arial Black"/>
          <w:spacing w:val="60"/>
          <w:sz w:val="44"/>
          <w:szCs w:val="44"/>
        </w:rPr>
        <w:t xml:space="preserve">.        </w:t>
      </w:r>
    </w:p>
    <w:p w14:paraId="23AB3C5D" w14:textId="77777777" w:rsidR="005216E6" w:rsidRDefault="005216E6" w:rsidP="00EB2EFB">
      <w:pPr>
        <w:rPr>
          <w:rFonts w:cs="Arial"/>
          <w:b/>
          <w:sz w:val="22"/>
          <w:szCs w:val="22"/>
        </w:rPr>
      </w:pPr>
      <w:r>
        <w:rPr>
          <w:rFonts w:cs="Arial"/>
          <w:b/>
          <w:sz w:val="22"/>
          <w:szCs w:val="22"/>
        </w:rPr>
        <w:t xml:space="preserve">                  </w:t>
      </w:r>
      <w:smartTag w:uri="urn:schemas-microsoft-com:office:smarttags" w:element="Street">
        <w:smartTag w:uri="urn:schemas-microsoft-com:office:smarttags" w:element="address">
          <w:r>
            <w:rPr>
              <w:rFonts w:cs="Arial"/>
              <w:b/>
              <w:sz w:val="22"/>
              <w:szCs w:val="22"/>
            </w:rPr>
            <w:t>230 Marcus Boulevard</w:t>
          </w:r>
        </w:smartTag>
      </w:smartTag>
      <w:r>
        <w:rPr>
          <w:rFonts w:cs="Arial"/>
          <w:b/>
          <w:sz w:val="22"/>
          <w:szCs w:val="22"/>
        </w:rPr>
        <w:t xml:space="preserve">   •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cs="Arial"/>
                  <w:b/>
                  <w:sz w:val="22"/>
                  <w:szCs w:val="22"/>
                </w:rPr>
                <w:t>P. O. Box</w:t>
              </w:r>
            </w:smartTag>
          </w:smartTag>
          <w:r>
            <w:rPr>
              <w:rFonts w:cs="Arial"/>
              <w:b/>
              <w:sz w:val="22"/>
              <w:szCs w:val="22"/>
            </w:rPr>
            <w:t xml:space="preserve"> 18050</w:t>
          </w:r>
        </w:smartTag>
      </w:smartTag>
      <w:r>
        <w:rPr>
          <w:rFonts w:cs="Arial"/>
          <w:b/>
          <w:sz w:val="22"/>
          <w:szCs w:val="22"/>
        </w:rPr>
        <w:t xml:space="preserve"> • </w:t>
      </w:r>
      <w:smartTag w:uri="urn:schemas-microsoft-com:office:smarttags" w:element="City">
        <w:smartTag w:uri="urn:schemas-microsoft-com:office:smarttags" w:element="place">
          <w:r>
            <w:rPr>
              <w:rFonts w:cs="Arial"/>
              <w:b/>
              <w:sz w:val="22"/>
              <w:szCs w:val="22"/>
            </w:rPr>
            <w:t>Hauppauge</w:t>
          </w:r>
        </w:smartTag>
        <w:r>
          <w:rPr>
            <w:rFonts w:cs="Arial"/>
            <w:b/>
            <w:sz w:val="22"/>
            <w:szCs w:val="22"/>
          </w:rPr>
          <w:t xml:space="preserve">, </w:t>
        </w:r>
        <w:smartTag w:uri="urn:schemas-microsoft-com:office:smarttags" w:element="State">
          <w:r>
            <w:rPr>
              <w:rFonts w:cs="Arial"/>
              <w:b/>
              <w:sz w:val="22"/>
              <w:szCs w:val="22"/>
            </w:rPr>
            <w:t>NY</w:t>
          </w:r>
        </w:smartTag>
        <w:r>
          <w:rPr>
            <w:rFonts w:cs="Arial"/>
            <w:b/>
            <w:sz w:val="22"/>
            <w:szCs w:val="22"/>
          </w:rPr>
          <w:t xml:space="preserve">  </w:t>
        </w:r>
        <w:smartTag w:uri="urn:schemas-microsoft-com:office:smarttags" w:element="PostalCode">
          <w:r>
            <w:rPr>
              <w:rFonts w:cs="Arial"/>
              <w:b/>
              <w:sz w:val="22"/>
              <w:szCs w:val="22"/>
            </w:rPr>
            <w:t>11788</w:t>
          </w:r>
        </w:smartTag>
      </w:smartTag>
      <w:r>
        <w:rPr>
          <w:rFonts w:cs="Arial"/>
          <w:b/>
          <w:sz w:val="22"/>
          <w:szCs w:val="22"/>
        </w:rPr>
        <w:t xml:space="preserve"> • (631) 273-0900</w:t>
      </w:r>
    </w:p>
    <w:p w14:paraId="23AB3C5E" w14:textId="77777777" w:rsidR="005216E6" w:rsidRDefault="005216E6" w:rsidP="00EB2EFB">
      <w:pPr>
        <w:rPr>
          <w:rFonts w:cs="Arial"/>
          <w:b/>
          <w:sz w:val="28"/>
          <w:szCs w:val="28"/>
        </w:rPr>
      </w:pPr>
    </w:p>
    <w:p w14:paraId="23AB3C5F" w14:textId="77777777" w:rsidR="005216E6" w:rsidRDefault="005216E6" w:rsidP="00EB2EFB">
      <w:pPr>
        <w:jc w:val="center"/>
        <w:rPr>
          <w:rFonts w:cs="Arial"/>
          <w:b/>
          <w:sz w:val="28"/>
          <w:szCs w:val="28"/>
        </w:rPr>
      </w:pPr>
      <w:r>
        <w:rPr>
          <w:rFonts w:cs="Arial"/>
          <w:b/>
          <w:sz w:val="28"/>
          <w:szCs w:val="28"/>
        </w:rPr>
        <w:t>NOTICE OF ANNUAL MEETING OF STOCKHOLDERS</w:t>
      </w:r>
    </w:p>
    <w:p w14:paraId="23AB3C60" w14:textId="77777777" w:rsidR="005216E6" w:rsidRDefault="005216E6" w:rsidP="00EB2EFB">
      <w:pPr>
        <w:jc w:val="center"/>
        <w:rPr>
          <w:rFonts w:cs="Arial"/>
          <w:b/>
          <w:sz w:val="28"/>
          <w:szCs w:val="28"/>
        </w:rPr>
      </w:pPr>
      <w:r>
        <w:rPr>
          <w:rFonts w:cs="Arial"/>
          <w:b/>
          <w:sz w:val="28"/>
          <w:szCs w:val="28"/>
        </w:rPr>
        <w:t>_______________________</w:t>
      </w:r>
    </w:p>
    <w:p w14:paraId="23AB3C61" w14:textId="77777777" w:rsidR="005216E6" w:rsidRDefault="005216E6" w:rsidP="00EB2EFB">
      <w:pPr>
        <w:jc w:val="center"/>
        <w:rPr>
          <w:rFonts w:cs="Arial"/>
          <w:sz w:val="22"/>
          <w:szCs w:val="22"/>
        </w:rPr>
      </w:pPr>
    </w:p>
    <w:p w14:paraId="23AB3C62" w14:textId="77777777" w:rsidR="005216E6" w:rsidRDefault="005216E6" w:rsidP="00EB2EFB">
      <w:pPr>
        <w:pBdr>
          <w:bottom w:val="single" w:sz="8" w:space="1" w:color="000000"/>
        </w:pBdr>
        <w:jc w:val="center"/>
        <w:rPr>
          <w:rFonts w:cs="Arial"/>
          <w:b/>
          <w:sz w:val="28"/>
          <w:szCs w:val="28"/>
        </w:rPr>
      </w:pPr>
      <w:r>
        <w:rPr>
          <w:rFonts w:cs="Arial"/>
          <w:b/>
          <w:sz w:val="28"/>
          <w:szCs w:val="28"/>
        </w:rPr>
        <w:t>To Be Held May 13, 2015</w:t>
      </w:r>
    </w:p>
    <w:p w14:paraId="23AB3C63" w14:textId="77777777" w:rsidR="005216E6" w:rsidRDefault="005216E6" w:rsidP="00EB2EFB">
      <w:pPr>
        <w:pBdr>
          <w:bottom w:val="single" w:sz="8" w:space="1" w:color="000000"/>
        </w:pBdr>
        <w:rPr>
          <w:rFonts w:cs="Arial"/>
          <w:b/>
          <w:sz w:val="28"/>
          <w:szCs w:val="28"/>
        </w:rPr>
      </w:pPr>
    </w:p>
    <w:p w14:paraId="23AB3C64" w14:textId="77777777" w:rsidR="005216E6" w:rsidRDefault="005216E6" w:rsidP="00EB2EFB">
      <w:pPr>
        <w:rPr>
          <w:rFonts w:cs="Arial"/>
          <w:i/>
          <w:sz w:val="22"/>
          <w:szCs w:val="22"/>
        </w:rPr>
      </w:pPr>
    </w:p>
    <w:p w14:paraId="23AB3C65" w14:textId="77777777" w:rsidR="005216E6" w:rsidRPr="004F64EE" w:rsidRDefault="005216E6" w:rsidP="00EB2EFB">
      <w:pPr>
        <w:rPr>
          <w:rFonts w:cs="Arial"/>
          <w:b/>
          <w:sz w:val="20"/>
        </w:rPr>
      </w:pPr>
      <w:r w:rsidRPr="004F64EE">
        <w:rPr>
          <w:rFonts w:cs="Arial"/>
          <w:i/>
          <w:sz w:val="20"/>
        </w:rPr>
        <w:t xml:space="preserve">To the Stockholders of </w:t>
      </w:r>
      <w:r w:rsidRPr="004F64EE">
        <w:rPr>
          <w:rFonts w:cs="Arial"/>
          <w:b/>
          <w:sz w:val="20"/>
        </w:rPr>
        <w:t>UNITED-GUARDIAN, INC.:</w:t>
      </w:r>
    </w:p>
    <w:p w14:paraId="23AB3C66" w14:textId="77777777" w:rsidR="005216E6" w:rsidRDefault="005216E6" w:rsidP="00EB2EFB">
      <w:pPr>
        <w:rPr>
          <w:rFonts w:cs="Arial"/>
          <w:sz w:val="22"/>
          <w:szCs w:val="22"/>
        </w:rPr>
      </w:pPr>
    </w:p>
    <w:p w14:paraId="23AB3C67" w14:textId="77777777" w:rsidR="005216E6" w:rsidRPr="004F64EE" w:rsidRDefault="005216E6" w:rsidP="00EB2EFB">
      <w:pPr>
        <w:jc w:val="both"/>
        <w:rPr>
          <w:rFonts w:cs="Arial"/>
          <w:sz w:val="20"/>
        </w:rPr>
      </w:pPr>
      <w:r w:rsidRPr="004F64EE">
        <w:rPr>
          <w:rFonts w:cs="Arial"/>
          <w:sz w:val="20"/>
        </w:rPr>
        <w:t xml:space="preserve"> </w:t>
      </w:r>
      <w:r w:rsidRPr="004F64EE">
        <w:rPr>
          <w:rFonts w:cs="Arial"/>
          <w:sz w:val="20"/>
        </w:rPr>
        <w:tab/>
        <w:t xml:space="preserve">You are hereby notified that the </w:t>
      </w:r>
      <w:r w:rsidR="00F27BF8" w:rsidRPr="004F64EE">
        <w:rPr>
          <w:rFonts w:cs="Arial"/>
          <w:sz w:val="20"/>
        </w:rPr>
        <w:t xml:space="preserve">2015 </w:t>
      </w:r>
      <w:r w:rsidRPr="004F64EE">
        <w:rPr>
          <w:rFonts w:cs="Arial"/>
          <w:sz w:val="20"/>
        </w:rPr>
        <w:t xml:space="preserve">annual meeting of stockholders of </w:t>
      </w:r>
      <w:r w:rsidRPr="004F64EE">
        <w:rPr>
          <w:rFonts w:cs="Arial"/>
          <w:b/>
          <w:sz w:val="20"/>
        </w:rPr>
        <w:t>UNITED-GUARDIAN, INC</w:t>
      </w:r>
      <w:r w:rsidRPr="004F64EE">
        <w:rPr>
          <w:rFonts w:cs="Arial"/>
          <w:sz w:val="20"/>
        </w:rPr>
        <w:t>.</w:t>
      </w:r>
      <w:r w:rsidR="00F27BF8" w:rsidRPr="004F64EE">
        <w:rPr>
          <w:rFonts w:cs="Arial"/>
          <w:sz w:val="20"/>
        </w:rPr>
        <w:t xml:space="preserve"> (“Annual Meeting”)</w:t>
      </w:r>
      <w:r w:rsidRPr="004F64EE">
        <w:rPr>
          <w:rFonts w:cs="Arial"/>
          <w:sz w:val="20"/>
        </w:rPr>
        <w:t xml:space="preserve">, will be held at the offices of </w:t>
      </w:r>
      <w:r w:rsidRPr="000A4641">
        <w:rPr>
          <w:rFonts w:cs="Arial"/>
          <w:sz w:val="20"/>
        </w:rPr>
        <w:t>Baker Tilly Virchow Krause,</w:t>
      </w:r>
      <w:r w:rsidRPr="004F64EE">
        <w:rPr>
          <w:rFonts w:cs="Arial"/>
          <w:sz w:val="20"/>
        </w:rPr>
        <w:t xml:space="preserve"> LLP, 125 Baylis Road, Suite 300, Melville, NY 11747 on Wednesday, May 13, 2015 at 10:00 A.M. local time, for the following purposes:</w:t>
      </w:r>
    </w:p>
    <w:p w14:paraId="23AB3C68" w14:textId="77777777" w:rsidR="005216E6" w:rsidRPr="007D019D" w:rsidRDefault="005216E6" w:rsidP="00EB2EFB">
      <w:pPr>
        <w:rPr>
          <w:rFonts w:cs="Arial"/>
          <w:sz w:val="22"/>
          <w:szCs w:val="22"/>
        </w:rPr>
      </w:pPr>
    </w:p>
    <w:p w14:paraId="23AB3C69" w14:textId="77777777" w:rsidR="005216E6" w:rsidRPr="004F64EE" w:rsidRDefault="005216E6" w:rsidP="004F64EE">
      <w:pPr>
        <w:pStyle w:val="ListParagraph"/>
        <w:numPr>
          <w:ilvl w:val="0"/>
          <w:numId w:val="28"/>
        </w:numPr>
        <w:jc w:val="both"/>
        <w:rPr>
          <w:rFonts w:cs="Arial"/>
          <w:sz w:val="20"/>
          <w:lang w:eastAsia="en-US"/>
        </w:rPr>
      </w:pPr>
      <w:r w:rsidRPr="004F64EE">
        <w:rPr>
          <w:rFonts w:cs="Arial"/>
          <w:sz w:val="20"/>
        </w:rPr>
        <w:t>To elect six (6) directors to serve until the next annual meeting of the stockholders and until their respective successors are elected and qualified;</w:t>
      </w:r>
    </w:p>
    <w:p w14:paraId="23AB3C6A" w14:textId="77777777" w:rsidR="005216E6" w:rsidRDefault="005216E6" w:rsidP="00342DB7">
      <w:pPr>
        <w:shd w:val="clear" w:color="auto" w:fill="FFFFFF"/>
        <w:rPr>
          <w:rFonts w:cs="Arial"/>
          <w:sz w:val="22"/>
          <w:szCs w:val="22"/>
          <w:lang w:eastAsia="en-US"/>
        </w:rPr>
      </w:pPr>
    </w:p>
    <w:p w14:paraId="23AB3C6B" w14:textId="77777777" w:rsidR="005216E6" w:rsidRPr="004F64EE" w:rsidRDefault="005216E6" w:rsidP="004F64EE">
      <w:pPr>
        <w:pStyle w:val="ListParagraph"/>
        <w:numPr>
          <w:ilvl w:val="0"/>
          <w:numId w:val="28"/>
        </w:numPr>
        <w:jc w:val="both"/>
        <w:rPr>
          <w:rFonts w:cs="Arial"/>
          <w:sz w:val="20"/>
        </w:rPr>
      </w:pPr>
      <w:r w:rsidRPr="004F64EE">
        <w:rPr>
          <w:rFonts w:cs="Arial"/>
          <w:sz w:val="20"/>
        </w:rPr>
        <w:t>To hold an advisory vote relating to the compensation of the Company’s named executive officers;</w:t>
      </w:r>
    </w:p>
    <w:p w14:paraId="23AB3C6C" w14:textId="77777777" w:rsidR="005216E6" w:rsidRPr="007D019D" w:rsidRDefault="005216E6" w:rsidP="00EB2EFB">
      <w:pPr>
        <w:rPr>
          <w:rFonts w:cs="Arial"/>
          <w:sz w:val="22"/>
          <w:szCs w:val="22"/>
        </w:rPr>
      </w:pPr>
    </w:p>
    <w:p w14:paraId="23AB3C6D" w14:textId="77777777" w:rsidR="005860ED" w:rsidRPr="007D019D" w:rsidRDefault="005216E6" w:rsidP="004F64EE">
      <w:pPr>
        <w:pStyle w:val="ListParagraph"/>
        <w:numPr>
          <w:ilvl w:val="0"/>
          <w:numId w:val="28"/>
        </w:numPr>
      </w:pPr>
      <w:r w:rsidRPr="004F64EE">
        <w:rPr>
          <w:rFonts w:cs="Arial"/>
          <w:sz w:val="20"/>
        </w:rPr>
        <w:t xml:space="preserve">To ratify the appointment by the Company of Baker Tilly Virchow Krause, LLP (formerly, Holtz Rubenstein Reminick LLP) as its  independent  registered  public accounting firm for the fiscal year ending December 31, 2015; </w:t>
      </w:r>
    </w:p>
    <w:p w14:paraId="23AB3C6E" w14:textId="77777777" w:rsidR="005216E6" w:rsidRDefault="005216E6" w:rsidP="004F64EE">
      <w:pPr>
        <w:jc w:val="both"/>
        <w:rPr>
          <w:rFonts w:cs="Arial"/>
          <w:sz w:val="22"/>
          <w:szCs w:val="22"/>
        </w:rPr>
      </w:pPr>
    </w:p>
    <w:p w14:paraId="23AB3C6F" w14:textId="77777777" w:rsidR="005860ED" w:rsidRPr="004F64EE" w:rsidRDefault="005860ED" w:rsidP="004F64EE">
      <w:pPr>
        <w:pStyle w:val="ListParagraph"/>
        <w:numPr>
          <w:ilvl w:val="0"/>
          <w:numId w:val="28"/>
        </w:numPr>
        <w:jc w:val="both"/>
        <w:rPr>
          <w:rFonts w:cs="Arial"/>
          <w:sz w:val="22"/>
          <w:szCs w:val="22"/>
        </w:rPr>
      </w:pPr>
      <w:r w:rsidRPr="004F64EE">
        <w:rPr>
          <w:rFonts w:cs="Arial"/>
          <w:sz w:val="20"/>
        </w:rPr>
        <w:t xml:space="preserve">To consider a </w:t>
      </w:r>
      <w:r w:rsidR="00A33C92">
        <w:rPr>
          <w:rFonts w:cs="Arial"/>
          <w:sz w:val="20"/>
        </w:rPr>
        <w:t>stockholder</w:t>
      </w:r>
      <w:r w:rsidRPr="004F64EE">
        <w:rPr>
          <w:rFonts w:cs="Arial"/>
          <w:sz w:val="20"/>
        </w:rPr>
        <w:t xml:space="preserve"> proposal described in the accompanying Proxy Statement, if properly presented at the </w:t>
      </w:r>
      <w:r w:rsidR="00F27BF8" w:rsidRPr="004F64EE">
        <w:rPr>
          <w:rFonts w:cs="Arial"/>
          <w:sz w:val="20"/>
        </w:rPr>
        <w:t>Annual M</w:t>
      </w:r>
      <w:r w:rsidRPr="004F64EE">
        <w:rPr>
          <w:rFonts w:cs="Arial"/>
          <w:sz w:val="20"/>
        </w:rPr>
        <w:t>eeting</w:t>
      </w:r>
      <w:r w:rsidR="007D1097" w:rsidRPr="004F64EE">
        <w:rPr>
          <w:rFonts w:cs="Arial"/>
          <w:sz w:val="20"/>
        </w:rPr>
        <w:t>; and</w:t>
      </w:r>
    </w:p>
    <w:p w14:paraId="23AB3C70" w14:textId="77777777" w:rsidR="005860ED" w:rsidRPr="007D019D" w:rsidRDefault="005860ED" w:rsidP="00EB2EFB">
      <w:pPr>
        <w:rPr>
          <w:rFonts w:cs="Arial"/>
          <w:sz w:val="22"/>
          <w:szCs w:val="22"/>
        </w:rPr>
      </w:pPr>
    </w:p>
    <w:p w14:paraId="23AB3C71" w14:textId="77777777" w:rsidR="005216E6" w:rsidRPr="007D019D" w:rsidRDefault="005216E6" w:rsidP="004F64EE">
      <w:pPr>
        <w:ind w:left="630" w:hanging="630"/>
        <w:jc w:val="both"/>
        <w:rPr>
          <w:rFonts w:cs="Arial"/>
          <w:sz w:val="22"/>
          <w:szCs w:val="22"/>
        </w:rPr>
      </w:pPr>
      <w:r w:rsidRPr="007D019D">
        <w:rPr>
          <w:rFonts w:cs="Arial"/>
          <w:sz w:val="22"/>
          <w:szCs w:val="22"/>
        </w:rPr>
        <w:t xml:space="preserve">     </w:t>
      </w:r>
      <w:r w:rsidR="005860ED">
        <w:rPr>
          <w:rFonts w:cs="Arial"/>
          <w:sz w:val="22"/>
          <w:szCs w:val="22"/>
        </w:rPr>
        <w:t>5.</w:t>
      </w:r>
      <w:r w:rsidR="00F27BF8">
        <w:rPr>
          <w:rFonts w:cs="Arial"/>
          <w:sz w:val="22"/>
          <w:szCs w:val="22"/>
        </w:rPr>
        <w:tab/>
      </w:r>
      <w:r w:rsidRPr="004F64EE">
        <w:rPr>
          <w:rFonts w:cs="Arial"/>
          <w:sz w:val="20"/>
        </w:rPr>
        <w:t>To transact such other matters as may properly come before the meeting or any adjournment thereof.</w:t>
      </w:r>
    </w:p>
    <w:p w14:paraId="23AB3C72" w14:textId="77777777" w:rsidR="005216E6" w:rsidRPr="007D019D" w:rsidRDefault="005216E6" w:rsidP="00EB2EFB">
      <w:pPr>
        <w:rPr>
          <w:rFonts w:cs="Arial"/>
          <w:sz w:val="22"/>
          <w:szCs w:val="22"/>
        </w:rPr>
      </w:pPr>
    </w:p>
    <w:p w14:paraId="23AB3C73" w14:textId="77777777" w:rsidR="005216E6" w:rsidRPr="007D019D" w:rsidRDefault="005216E6" w:rsidP="005E2B95">
      <w:pPr>
        <w:ind w:firstLine="720"/>
        <w:jc w:val="both"/>
        <w:rPr>
          <w:rFonts w:cs="Arial"/>
          <w:sz w:val="22"/>
          <w:szCs w:val="22"/>
        </w:rPr>
      </w:pPr>
      <w:r w:rsidRPr="004F64EE">
        <w:rPr>
          <w:rFonts w:cs="Arial"/>
          <w:sz w:val="20"/>
        </w:rPr>
        <w:t>Only stockholders of record at the close of business on March 27, 2015 are entitled to notice of and to vote at the meeting</w:t>
      </w:r>
      <w:r w:rsidRPr="007D019D">
        <w:rPr>
          <w:rFonts w:cs="Arial"/>
          <w:sz w:val="22"/>
          <w:szCs w:val="22"/>
        </w:rPr>
        <w:t>.</w:t>
      </w:r>
    </w:p>
    <w:p w14:paraId="23AB3C74" w14:textId="77777777" w:rsidR="005216E6" w:rsidRPr="007D019D" w:rsidRDefault="005216E6" w:rsidP="00EB2EFB">
      <w:pPr>
        <w:tabs>
          <w:tab w:val="left" w:pos="6120"/>
        </w:tabs>
        <w:rPr>
          <w:rFonts w:cs="Arial"/>
          <w:sz w:val="22"/>
          <w:szCs w:val="22"/>
        </w:rPr>
      </w:pPr>
      <w:r w:rsidRPr="007D019D">
        <w:rPr>
          <w:rFonts w:cs="Arial"/>
          <w:sz w:val="22"/>
          <w:szCs w:val="22"/>
        </w:rPr>
        <w:tab/>
      </w:r>
      <w:r w:rsidRPr="004F64EE">
        <w:rPr>
          <w:rFonts w:cs="Arial"/>
          <w:sz w:val="20"/>
        </w:rPr>
        <w:t xml:space="preserve">By order of the Board of Directors </w:t>
      </w:r>
    </w:p>
    <w:p w14:paraId="23AB3C75" w14:textId="77777777" w:rsidR="005216E6" w:rsidRPr="007D019D" w:rsidRDefault="00A155E1" w:rsidP="00EB2EFB">
      <w:pPr>
        <w:tabs>
          <w:tab w:val="left" w:pos="6120"/>
        </w:tabs>
        <w:rPr>
          <w:rFonts w:cs="Arial"/>
          <w:sz w:val="22"/>
          <w:szCs w:val="22"/>
        </w:rPr>
      </w:pPr>
      <w:r w:rsidRPr="00CC25D6">
        <w:rPr>
          <w:rFonts w:cs="Arial"/>
          <w:sz w:val="20"/>
        </w:rPr>
        <w:t>Dated: April 14, 2015</w:t>
      </w:r>
      <w:r w:rsidR="005216E6" w:rsidRPr="007D019D">
        <w:rPr>
          <w:rFonts w:cs="Arial"/>
          <w:b/>
          <w:sz w:val="22"/>
          <w:szCs w:val="22"/>
        </w:rPr>
        <w:tab/>
      </w:r>
      <w:r w:rsidR="005216E6" w:rsidRPr="004F64EE">
        <w:rPr>
          <w:rFonts w:cs="Arial"/>
          <w:sz w:val="20"/>
        </w:rPr>
        <w:t>Robert S. Rubinger, Secretary</w:t>
      </w:r>
    </w:p>
    <w:p w14:paraId="23AB3C76" w14:textId="77777777" w:rsidR="005216E6" w:rsidRDefault="005216E6" w:rsidP="00EB2EFB">
      <w:pPr>
        <w:rPr>
          <w:rFonts w:cs="Arial"/>
          <w:sz w:val="22"/>
          <w:szCs w:val="22"/>
        </w:rPr>
      </w:pPr>
    </w:p>
    <w:p w14:paraId="23AB3C77" w14:textId="77777777" w:rsidR="005216E6" w:rsidRDefault="00A155E1" w:rsidP="00EB2EFB">
      <w:pPr>
        <w:rPr>
          <w:rFonts w:cs="Arial"/>
          <w:sz w:val="22"/>
          <w:szCs w:val="22"/>
        </w:rPr>
      </w:pPr>
      <w:r>
        <w:rPr>
          <w:noProof/>
          <w:lang w:eastAsia="en-US"/>
        </w:rPr>
        <mc:AlternateContent>
          <mc:Choice Requires="wps">
            <w:drawing>
              <wp:anchor distT="0" distB="0" distL="114935" distR="114935" simplePos="0" relativeHeight="251658240" behindDoc="0" locked="0" layoutInCell="1" allowOverlap="1" wp14:anchorId="23AB3F1A" wp14:editId="23AB3F1B">
                <wp:simplePos x="0" y="0"/>
                <wp:positionH relativeFrom="column">
                  <wp:posOffset>685800</wp:posOffset>
                </wp:positionH>
                <wp:positionV relativeFrom="paragraph">
                  <wp:posOffset>120015</wp:posOffset>
                </wp:positionV>
                <wp:extent cx="5372100" cy="937260"/>
                <wp:effectExtent l="0" t="0" r="1905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37260"/>
                        </a:xfrm>
                        <a:prstGeom prst="rect">
                          <a:avLst/>
                        </a:prstGeom>
                        <a:solidFill>
                          <a:srgbClr val="FFFFFF"/>
                        </a:solidFill>
                        <a:ln w="6350">
                          <a:solidFill>
                            <a:srgbClr val="000000"/>
                          </a:solidFill>
                          <a:miter lim="800000"/>
                          <a:headEnd/>
                          <a:tailEnd/>
                        </a:ln>
                      </wps:spPr>
                      <wps:txbx>
                        <w:txbxContent>
                          <w:p w14:paraId="23AB3F32" w14:textId="77777777" w:rsidR="009E1018" w:rsidRDefault="009E1018" w:rsidP="00EB2EFB">
                            <w:pPr>
                              <w:jc w:val="center"/>
                              <w:rPr>
                                <w:rFonts w:cs="Arial"/>
                                <w:b/>
                                <w:sz w:val="22"/>
                                <w:szCs w:val="22"/>
                              </w:rPr>
                            </w:pPr>
                            <w:r>
                              <w:rPr>
                                <w:rFonts w:cs="Arial"/>
                                <w:b/>
                                <w:sz w:val="22"/>
                                <w:szCs w:val="22"/>
                              </w:rPr>
                              <w:t>RETURN OF PROXIES</w:t>
                            </w:r>
                          </w:p>
                          <w:p w14:paraId="23AB3F33" w14:textId="77777777" w:rsidR="009E1018" w:rsidRPr="004F64EE" w:rsidRDefault="009E1018" w:rsidP="00EB2EFB">
                            <w:pPr>
                              <w:jc w:val="both"/>
                              <w:rPr>
                                <w:rFonts w:cs="Arial"/>
                                <w:sz w:val="18"/>
                                <w:szCs w:val="18"/>
                              </w:rPr>
                            </w:pPr>
                            <w:r w:rsidRPr="004F64EE">
                              <w:rPr>
                                <w:rFonts w:cs="Arial"/>
                                <w:sz w:val="18"/>
                                <w:szCs w:val="18"/>
                              </w:rPr>
                              <w:t>Whether or not you plan to attend, it is important that your shares be represented and voted at the Annual Meeting. To ensure your representation at the Annual Meeting, a proxy card and business reply envelopes are enclosed for your use. We urge each stockholder to vote promptly by signing and returning his or her proxy card, regardless of the number of shares held. The giving of a proxy will not affect your right to vote in person if you attend the Annual Meeting.</w:t>
                            </w:r>
                          </w:p>
                          <w:p w14:paraId="23AB3F34" w14:textId="77777777" w:rsidR="009E1018" w:rsidRDefault="009E1018" w:rsidP="00EB2EFB">
                            <w:pPr>
                              <w:jc w:val="center"/>
                              <w:rPr>
                                <w:rFonts w:cs="Arial"/>
                                <w:sz w:val="22"/>
                                <w:szCs w:val="22"/>
                              </w:rPr>
                            </w:pPr>
                          </w:p>
                          <w:p w14:paraId="23AB3F35" w14:textId="77777777" w:rsidR="009E1018" w:rsidRDefault="009E1018" w:rsidP="00EB2EFB">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B18E8" id="_x0000_t202" coordsize="21600,21600" o:spt="202" path="m,l,21600r21600,l21600,xe">
                <v:stroke joinstyle="miter"/>
                <v:path gradientshapeok="t" o:connecttype="rect"/>
              </v:shapetype>
              <v:shape id="Text Box 2" o:spid="_x0000_s1026" type="#_x0000_t202" style="position:absolute;margin-left:54pt;margin-top:9.45pt;width:423pt;height:73.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v1KgIAAFAEAAAOAAAAZHJzL2Uyb0RvYy54bWysVNtu2zAMfR+wfxD0vthJmiw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" strokeweight=".5pt">
                <v:textbox inset="7.45pt,3.85pt,7.45pt,3.85pt">
                  <w:txbxContent>
                    <w:p w:rsidR="009E1018" w:rsidRDefault="009E1018" w:rsidP="00EB2EFB">
                      <w:pPr>
                        <w:jc w:val="center"/>
                        <w:rPr>
                          <w:rFonts w:cs="Arial"/>
                          <w:b/>
                          <w:sz w:val="22"/>
                          <w:szCs w:val="22"/>
                        </w:rPr>
                      </w:pPr>
                      <w:r>
                        <w:rPr>
                          <w:rFonts w:cs="Arial"/>
                          <w:b/>
                          <w:sz w:val="22"/>
                          <w:szCs w:val="22"/>
                        </w:rPr>
                        <w:t>RETURN OF PROXIES</w:t>
                      </w:r>
                    </w:p>
                    <w:p w:rsidR="009E1018" w:rsidRPr="004F64EE" w:rsidRDefault="009E1018" w:rsidP="00EB2EFB">
                      <w:pPr>
                        <w:jc w:val="both"/>
                        <w:rPr>
                          <w:rFonts w:cs="Arial"/>
                          <w:sz w:val="18"/>
                          <w:szCs w:val="18"/>
                        </w:rPr>
                      </w:pPr>
                      <w:r w:rsidRPr="004F64EE">
                        <w:rPr>
                          <w:rFonts w:cs="Arial"/>
                          <w:sz w:val="18"/>
                          <w:szCs w:val="18"/>
                        </w:rPr>
                        <w:t>Whether or not you plan to attend, it is important that your shares be represented and voted at the Annual Meeting. To ensure your representation at the Annual Meeting, a proxy card and business reply envelopes are enclosed for your use. We urge each stockholder to vote promptly by signing and returning his or her proxy card, regardless of the number of shares held. The giving of a proxy will not affect your right to vote in person if you attend the Annual Meeting.</w:t>
                      </w:r>
                    </w:p>
                    <w:p w:rsidR="009E1018" w:rsidRDefault="009E1018" w:rsidP="00EB2EFB">
                      <w:pPr>
                        <w:jc w:val="center"/>
                        <w:rPr>
                          <w:rFonts w:cs="Arial"/>
                          <w:sz w:val="22"/>
                          <w:szCs w:val="22"/>
                        </w:rPr>
                      </w:pPr>
                    </w:p>
                    <w:p w:rsidR="009E1018" w:rsidRDefault="009E1018" w:rsidP="00EB2EFB">
                      <w:pPr>
                        <w:jc w:val="center"/>
                      </w:pPr>
                    </w:p>
                  </w:txbxContent>
                </v:textbox>
              </v:shape>
            </w:pict>
          </mc:Fallback>
        </mc:AlternateContent>
      </w:r>
    </w:p>
    <w:p w14:paraId="23AB3C78" w14:textId="77777777" w:rsidR="005216E6" w:rsidRDefault="005216E6" w:rsidP="00EB2EFB">
      <w:pPr>
        <w:rPr>
          <w:rFonts w:cs="Arial"/>
          <w:sz w:val="22"/>
          <w:szCs w:val="22"/>
        </w:rPr>
      </w:pPr>
    </w:p>
    <w:p w14:paraId="23AB3C79" w14:textId="77777777" w:rsidR="005216E6" w:rsidRDefault="005216E6" w:rsidP="00EB2EFB">
      <w:pPr>
        <w:rPr>
          <w:rFonts w:cs="Arial"/>
          <w:sz w:val="22"/>
          <w:szCs w:val="22"/>
        </w:rPr>
      </w:pPr>
    </w:p>
    <w:p w14:paraId="23AB3C7A" w14:textId="77777777" w:rsidR="005216E6" w:rsidRDefault="005216E6" w:rsidP="00EB2EFB">
      <w:pPr>
        <w:rPr>
          <w:rFonts w:cs="Arial"/>
          <w:sz w:val="22"/>
          <w:szCs w:val="22"/>
        </w:rPr>
      </w:pPr>
    </w:p>
    <w:p w14:paraId="23AB3C7B" w14:textId="77777777" w:rsidR="005216E6" w:rsidRDefault="005216E6" w:rsidP="00EB2EFB">
      <w:pPr>
        <w:rPr>
          <w:rFonts w:cs="Arial"/>
          <w:sz w:val="22"/>
          <w:szCs w:val="22"/>
        </w:rPr>
      </w:pPr>
    </w:p>
    <w:p w14:paraId="23AB3C7C" w14:textId="77777777" w:rsidR="005216E6" w:rsidRDefault="005216E6" w:rsidP="00EB2EFB">
      <w:pPr>
        <w:rPr>
          <w:rFonts w:cs="Arial"/>
          <w:sz w:val="22"/>
          <w:szCs w:val="22"/>
        </w:rPr>
      </w:pPr>
    </w:p>
    <w:p w14:paraId="23AB3C7D" w14:textId="77777777" w:rsidR="005216E6" w:rsidRDefault="005216E6" w:rsidP="00EB2EFB">
      <w:pPr>
        <w:rPr>
          <w:rFonts w:cs="Arial"/>
          <w:sz w:val="22"/>
          <w:szCs w:val="22"/>
        </w:rPr>
      </w:pPr>
    </w:p>
    <w:p w14:paraId="23AB3C7E" w14:textId="77777777" w:rsidR="005216E6" w:rsidRDefault="005216E6" w:rsidP="00EB2EFB">
      <w:pPr>
        <w:rPr>
          <w:rFonts w:cs="Arial"/>
          <w:sz w:val="22"/>
          <w:szCs w:val="22"/>
        </w:rPr>
      </w:pPr>
    </w:p>
    <w:p w14:paraId="23AB3C7F" w14:textId="77777777" w:rsidR="005216E6" w:rsidRPr="004F64EE" w:rsidRDefault="005216E6" w:rsidP="00A7548A">
      <w:pPr>
        <w:jc w:val="both"/>
        <w:rPr>
          <w:rFonts w:cs="Arial"/>
          <w:sz w:val="20"/>
        </w:rPr>
      </w:pPr>
      <w:r w:rsidRPr="004F64EE">
        <w:rPr>
          <w:rFonts w:cs="Arial"/>
          <w:b/>
          <w:sz w:val="20"/>
        </w:rPr>
        <w:t xml:space="preserve">Important </w:t>
      </w:r>
      <w:r w:rsidR="00A155E1" w:rsidRPr="004F64EE">
        <w:rPr>
          <w:rFonts w:cs="Arial"/>
          <w:b/>
          <w:sz w:val="20"/>
        </w:rPr>
        <w:t>n</w:t>
      </w:r>
      <w:r w:rsidRPr="004F64EE">
        <w:rPr>
          <w:rFonts w:cs="Arial"/>
          <w:b/>
          <w:sz w:val="20"/>
        </w:rPr>
        <w:t xml:space="preserve">otice </w:t>
      </w:r>
      <w:r w:rsidR="00A155E1" w:rsidRPr="004F64EE">
        <w:rPr>
          <w:rFonts w:cs="Arial"/>
          <w:b/>
          <w:sz w:val="20"/>
        </w:rPr>
        <w:t>r</w:t>
      </w:r>
      <w:r w:rsidRPr="004F64EE">
        <w:rPr>
          <w:rFonts w:cs="Arial"/>
          <w:b/>
          <w:sz w:val="20"/>
        </w:rPr>
        <w:t xml:space="preserve">egarding the </w:t>
      </w:r>
      <w:r w:rsidR="00A155E1" w:rsidRPr="004F64EE">
        <w:rPr>
          <w:rFonts w:cs="Arial"/>
          <w:b/>
          <w:sz w:val="20"/>
        </w:rPr>
        <w:t>a</w:t>
      </w:r>
      <w:r w:rsidRPr="004F64EE">
        <w:rPr>
          <w:rFonts w:cs="Arial"/>
          <w:b/>
          <w:sz w:val="20"/>
        </w:rPr>
        <w:t xml:space="preserve">vailability of </w:t>
      </w:r>
      <w:r w:rsidR="00A155E1" w:rsidRPr="004F64EE">
        <w:rPr>
          <w:rFonts w:cs="Arial"/>
          <w:b/>
          <w:sz w:val="20"/>
        </w:rPr>
        <w:t>p</w:t>
      </w:r>
      <w:r w:rsidRPr="004F64EE">
        <w:rPr>
          <w:rFonts w:cs="Arial"/>
          <w:b/>
          <w:sz w:val="20"/>
        </w:rPr>
        <w:t xml:space="preserve">roxy </w:t>
      </w:r>
      <w:r w:rsidR="00A155E1" w:rsidRPr="004F64EE">
        <w:rPr>
          <w:rFonts w:cs="Arial"/>
          <w:b/>
          <w:sz w:val="20"/>
        </w:rPr>
        <w:t>m</w:t>
      </w:r>
      <w:r w:rsidRPr="004F64EE">
        <w:rPr>
          <w:rFonts w:cs="Arial"/>
          <w:b/>
          <w:sz w:val="20"/>
        </w:rPr>
        <w:t xml:space="preserve">aterials for the Annual Meeting of Stockholders to be held May 13, 2015:  </w:t>
      </w:r>
      <w:r w:rsidR="00A155E1" w:rsidRPr="004F64EE">
        <w:rPr>
          <w:rFonts w:cs="Arial"/>
          <w:sz w:val="20"/>
        </w:rPr>
        <w:t>The</w:t>
      </w:r>
      <w:r w:rsidRPr="004F64EE">
        <w:rPr>
          <w:rFonts w:cs="Arial"/>
          <w:sz w:val="20"/>
        </w:rPr>
        <w:t xml:space="preserve"> </w:t>
      </w:r>
      <w:r w:rsidR="00A155E1" w:rsidRPr="004F64EE">
        <w:rPr>
          <w:rFonts w:cs="Arial"/>
          <w:sz w:val="20"/>
        </w:rPr>
        <w:t xml:space="preserve">Proxy Statement and </w:t>
      </w:r>
      <w:r w:rsidRPr="004F64EE">
        <w:rPr>
          <w:rFonts w:cs="Arial"/>
          <w:sz w:val="20"/>
        </w:rPr>
        <w:t xml:space="preserve">Annual Report </w:t>
      </w:r>
      <w:r w:rsidR="00A155E1" w:rsidRPr="004F64EE">
        <w:rPr>
          <w:rFonts w:cs="Arial"/>
          <w:sz w:val="20"/>
        </w:rPr>
        <w:t xml:space="preserve">to Stockholders are available </w:t>
      </w:r>
      <w:r w:rsidRPr="004F64EE">
        <w:rPr>
          <w:rFonts w:cs="Arial"/>
          <w:sz w:val="20"/>
        </w:rPr>
        <w:t xml:space="preserve">on the Company's website at </w:t>
      </w:r>
      <w:r w:rsidR="000A4641" w:rsidRPr="004F64EE">
        <w:rPr>
          <w:rFonts w:cs="Arial"/>
          <w:sz w:val="20"/>
        </w:rPr>
        <w:t>http://u-g.com/proxy-materials.php?year=2015</w:t>
      </w:r>
    </w:p>
    <w:p w14:paraId="23AB3C80" w14:textId="77777777" w:rsidR="005216E6" w:rsidRDefault="005216E6" w:rsidP="00EB2EFB">
      <w:pPr>
        <w:jc w:val="both"/>
        <w:rPr>
          <w:rFonts w:cs="Arial"/>
          <w:b/>
          <w:sz w:val="22"/>
          <w:szCs w:val="22"/>
        </w:rPr>
      </w:pPr>
    </w:p>
    <w:p w14:paraId="23AB3C81" w14:textId="77777777" w:rsidR="00A155E1" w:rsidRPr="00623105" w:rsidRDefault="00A155E1" w:rsidP="00EB2EFB">
      <w:pPr>
        <w:jc w:val="both"/>
        <w:rPr>
          <w:rFonts w:cs="Arial"/>
          <w:b/>
          <w:sz w:val="22"/>
          <w:szCs w:val="22"/>
        </w:rPr>
      </w:pPr>
    </w:p>
    <w:p w14:paraId="23AB3C82" w14:textId="77777777" w:rsidR="005216E6" w:rsidRDefault="00244BFC" w:rsidP="00EB2EFB">
      <w:pPr>
        <w:jc w:val="center"/>
        <w:rPr>
          <w:rFonts w:cs="Arial"/>
          <w:sz w:val="22"/>
          <w:szCs w:val="22"/>
        </w:rPr>
      </w:pPr>
      <w:r>
        <w:rPr>
          <w:rFonts w:cs="Arial"/>
          <w:noProof/>
          <w:sz w:val="22"/>
          <w:szCs w:val="22"/>
          <w:lang w:eastAsia="en-US"/>
        </w:rPr>
        <w:lastRenderedPageBreak/>
        <w:drawing>
          <wp:inline distT="0" distB="0" distL="0" distR="0" wp14:anchorId="23AB3F1C" wp14:editId="23AB3F1D">
            <wp:extent cx="426720" cy="746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746760"/>
                    </a:xfrm>
                    <a:prstGeom prst="rect">
                      <a:avLst/>
                    </a:prstGeom>
                    <a:noFill/>
                    <a:ln>
                      <a:noFill/>
                    </a:ln>
                  </pic:spPr>
                </pic:pic>
              </a:graphicData>
            </a:graphic>
          </wp:inline>
        </w:drawing>
      </w:r>
    </w:p>
    <w:p w14:paraId="23AB3C83" w14:textId="77777777" w:rsidR="005216E6" w:rsidRDefault="005216E6" w:rsidP="00EB2EFB">
      <w:pPr>
        <w:jc w:val="center"/>
        <w:rPr>
          <w:rFonts w:cs="Arial"/>
          <w:b/>
          <w:sz w:val="28"/>
          <w:szCs w:val="28"/>
        </w:rPr>
      </w:pPr>
    </w:p>
    <w:p w14:paraId="23AB3C84" w14:textId="77777777" w:rsidR="005216E6" w:rsidRPr="004F64EE" w:rsidRDefault="005216E6" w:rsidP="00EB2EFB">
      <w:pPr>
        <w:rPr>
          <w:rFonts w:ascii="Arial Black" w:hAnsi="Arial Black" w:cs="Arial"/>
          <w:sz w:val="28"/>
          <w:szCs w:val="28"/>
        </w:rPr>
      </w:pPr>
      <w:r>
        <w:rPr>
          <w:rFonts w:ascii="USABlack" w:hAnsi="USABlack"/>
          <w:b/>
          <w:spacing w:val="60"/>
          <w:sz w:val="44"/>
          <w:szCs w:val="44"/>
        </w:rPr>
        <w:t xml:space="preserve">       </w:t>
      </w:r>
      <w:r w:rsidRPr="00F00FC6">
        <w:rPr>
          <w:rFonts w:ascii="USABlack" w:hAnsi="USABlack"/>
          <w:b/>
          <w:spacing w:val="60"/>
          <w:sz w:val="44"/>
          <w:szCs w:val="44"/>
        </w:rPr>
        <w:t xml:space="preserve">       </w:t>
      </w:r>
      <w:r w:rsidRPr="004F64EE">
        <w:rPr>
          <w:rFonts w:ascii="Arial Black" w:hAnsi="Arial Black" w:cs="Arial"/>
          <w:spacing w:val="60"/>
          <w:sz w:val="56"/>
          <w:szCs w:val="56"/>
        </w:rPr>
        <w:t>U</w:t>
      </w:r>
      <w:r w:rsidRPr="004F64EE">
        <w:rPr>
          <w:rFonts w:ascii="Arial Black" w:hAnsi="Arial Black" w:cs="Arial"/>
          <w:spacing w:val="60"/>
          <w:sz w:val="40"/>
          <w:szCs w:val="40"/>
        </w:rPr>
        <w:t>NITED</w:t>
      </w:r>
      <w:r w:rsidRPr="004F64EE">
        <w:rPr>
          <w:rFonts w:ascii="Arial Black" w:hAnsi="Arial Black" w:cs="Arial"/>
          <w:spacing w:val="60"/>
          <w:sz w:val="44"/>
          <w:szCs w:val="44"/>
        </w:rPr>
        <w:t>-</w:t>
      </w:r>
      <w:r w:rsidRPr="004F64EE">
        <w:rPr>
          <w:rFonts w:ascii="Arial Black" w:hAnsi="Arial Black" w:cs="Arial"/>
          <w:spacing w:val="60"/>
          <w:sz w:val="56"/>
          <w:szCs w:val="56"/>
        </w:rPr>
        <w:t>G</w:t>
      </w:r>
      <w:r w:rsidRPr="004F64EE">
        <w:rPr>
          <w:rFonts w:ascii="Arial Black" w:hAnsi="Arial Black" w:cs="Arial"/>
          <w:spacing w:val="60"/>
          <w:sz w:val="40"/>
          <w:szCs w:val="40"/>
        </w:rPr>
        <w:t>UARDIAN</w:t>
      </w:r>
      <w:r w:rsidRPr="004F64EE">
        <w:rPr>
          <w:rFonts w:ascii="Arial Black" w:hAnsi="Arial Black" w:cs="Arial"/>
          <w:spacing w:val="60"/>
          <w:sz w:val="44"/>
          <w:szCs w:val="44"/>
        </w:rPr>
        <w:t xml:space="preserve">, </w:t>
      </w:r>
      <w:r w:rsidRPr="004F64EE">
        <w:rPr>
          <w:rFonts w:ascii="Arial Black" w:hAnsi="Arial Black" w:cs="Arial"/>
          <w:spacing w:val="60"/>
          <w:sz w:val="40"/>
          <w:szCs w:val="40"/>
        </w:rPr>
        <w:t>I</w:t>
      </w:r>
      <w:r w:rsidRPr="004F64EE">
        <w:rPr>
          <w:rFonts w:ascii="Arial Black" w:hAnsi="Arial Black" w:cs="Arial"/>
          <w:spacing w:val="60"/>
          <w:sz w:val="28"/>
          <w:szCs w:val="28"/>
        </w:rPr>
        <w:t>NC</w:t>
      </w:r>
      <w:r w:rsidRPr="004F64EE">
        <w:rPr>
          <w:rFonts w:ascii="Arial Black" w:hAnsi="Arial Black" w:cs="Arial"/>
          <w:spacing w:val="60"/>
          <w:sz w:val="44"/>
          <w:szCs w:val="44"/>
        </w:rPr>
        <w:t xml:space="preserve">.        </w:t>
      </w:r>
    </w:p>
    <w:p w14:paraId="23AB3C85" w14:textId="77777777" w:rsidR="005216E6" w:rsidRDefault="005216E6" w:rsidP="00EB2EFB">
      <w:pPr>
        <w:rPr>
          <w:rFonts w:cs="Arial"/>
          <w:b/>
          <w:sz w:val="22"/>
          <w:szCs w:val="22"/>
        </w:rPr>
      </w:pPr>
      <w:r>
        <w:rPr>
          <w:rFonts w:cs="Arial"/>
          <w:b/>
          <w:sz w:val="22"/>
          <w:szCs w:val="22"/>
        </w:rPr>
        <w:t xml:space="preserve">                  </w:t>
      </w:r>
      <w:smartTag w:uri="urn:schemas-microsoft-com:office:smarttags" w:element="Street">
        <w:smartTag w:uri="urn:schemas-microsoft-com:office:smarttags" w:element="address">
          <w:r>
            <w:rPr>
              <w:rFonts w:cs="Arial"/>
              <w:b/>
              <w:sz w:val="22"/>
              <w:szCs w:val="22"/>
            </w:rPr>
            <w:t>230 Marcus Boulevard</w:t>
          </w:r>
        </w:smartTag>
      </w:smartTag>
      <w:r>
        <w:rPr>
          <w:rFonts w:cs="Arial"/>
          <w:b/>
          <w:sz w:val="22"/>
          <w:szCs w:val="22"/>
        </w:rPr>
        <w:t xml:space="preserve"> •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cs="Arial"/>
                  <w:b/>
                  <w:sz w:val="22"/>
                  <w:szCs w:val="22"/>
                </w:rPr>
                <w:t>P.O. Box</w:t>
              </w:r>
            </w:smartTag>
          </w:smartTag>
          <w:r>
            <w:rPr>
              <w:rFonts w:cs="Arial"/>
              <w:b/>
              <w:sz w:val="22"/>
              <w:szCs w:val="22"/>
            </w:rPr>
            <w:t xml:space="preserve"> 18050</w:t>
          </w:r>
        </w:smartTag>
      </w:smartTag>
      <w:r>
        <w:rPr>
          <w:rFonts w:cs="Arial"/>
          <w:b/>
          <w:sz w:val="22"/>
          <w:szCs w:val="22"/>
        </w:rPr>
        <w:t xml:space="preserve"> • </w:t>
      </w:r>
      <w:smartTag w:uri="urn:schemas-microsoft-com:office:smarttags" w:element="City">
        <w:smartTag w:uri="urn:schemas-microsoft-com:office:smarttags" w:element="place">
          <w:r>
            <w:rPr>
              <w:rFonts w:cs="Arial"/>
              <w:b/>
              <w:sz w:val="22"/>
              <w:szCs w:val="22"/>
            </w:rPr>
            <w:t>Hauppauge</w:t>
          </w:r>
        </w:smartTag>
        <w:r>
          <w:rPr>
            <w:rFonts w:cs="Arial"/>
            <w:b/>
            <w:sz w:val="22"/>
            <w:szCs w:val="22"/>
          </w:rPr>
          <w:t xml:space="preserve">, </w:t>
        </w:r>
        <w:smartTag w:uri="urn:schemas-microsoft-com:office:smarttags" w:element="PostalCode">
          <w:smartTag w:uri="urn:schemas-microsoft-com:office:smarttags" w:element="State">
            <w:r>
              <w:rPr>
                <w:rFonts w:cs="Arial"/>
                <w:b/>
                <w:sz w:val="22"/>
                <w:szCs w:val="22"/>
              </w:rPr>
              <w:t>NY</w:t>
            </w:r>
          </w:smartTag>
        </w:smartTag>
        <w:r>
          <w:rPr>
            <w:rFonts w:cs="Arial"/>
            <w:b/>
            <w:sz w:val="22"/>
            <w:szCs w:val="22"/>
          </w:rPr>
          <w:t xml:space="preserve">  </w:t>
        </w:r>
        <w:smartTag w:uri="urn:schemas-microsoft-com:office:smarttags" w:element="PostalCode">
          <w:r>
            <w:rPr>
              <w:rFonts w:cs="Arial"/>
              <w:b/>
              <w:sz w:val="22"/>
              <w:szCs w:val="22"/>
            </w:rPr>
            <w:t>11788</w:t>
          </w:r>
        </w:smartTag>
      </w:smartTag>
      <w:r>
        <w:rPr>
          <w:rFonts w:cs="Arial"/>
          <w:b/>
          <w:sz w:val="22"/>
          <w:szCs w:val="22"/>
        </w:rPr>
        <w:t xml:space="preserve"> • (631) 273-0900</w:t>
      </w:r>
    </w:p>
    <w:p w14:paraId="23AB3C86" w14:textId="77777777" w:rsidR="005216E6" w:rsidRDefault="005216E6" w:rsidP="00EB2EFB">
      <w:pPr>
        <w:jc w:val="center"/>
        <w:rPr>
          <w:rFonts w:cs="Arial"/>
          <w:sz w:val="22"/>
          <w:szCs w:val="22"/>
        </w:rPr>
      </w:pPr>
    </w:p>
    <w:p w14:paraId="23AB3C87" w14:textId="77777777" w:rsidR="005216E6" w:rsidRDefault="005216E6" w:rsidP="00EB2EFB">
      <w:pPr>
        <w:jc w:val="center"/>
        <w:rPr>
          <w:rFonts w:cs="Arial"/>
          <w:sz w:val="22"/>
          <w:szCs w:val="22"/>
        </w:rPr>
      </w:pPr>
    </w:p>
    <w:p w14:paraId="23AB3C88" w14:textId="77777777" w:rsidR="005216E6" w:rsidRDefault="005216E6" w:rsidP="00EB2EFB">
      <w:pPr>
        <w:jc w:val="center"/>
        <w:rPr>
          <w:rFonts w:cs="Arial"/>
          <w:b/>
          <w:sz w:val="32"/>
          <w:szCs w:val="32"/>
        </w:rPr>
      </w:pPr>
      <w:r>
        <w:rPr>
          <w:rFonts w:cs="Arial"/>
          <w:b/>
          <w:sz w:val="32"/>
          <w:szCs w:val="32"/>
        </w:rPr>
        <w:t>Proxy Statement</w:t>
      </w:r>
    </w:p>
    <w:p w14:paraId="23AB3C89" w14:textId="77777777" w:rsidR="005216E6" w:rsidRDefault="005216E6" w:rsidP="00EB2EFB">
      <w:pPr>
        <w:spacing w:line="200" w:lineRule="exact"/>
        <w:rPr>
          <w:rFonts w:cs="Arial"/>
          <w:sz w:val="22"/>
          <w:szCs w:val="22"/>
        </w:rPr>
      </w:pPr>
    </w:p>
    <w:p w14:paraId="23AB3C8A" w14:textId="77777777" w:rsidR="005216E6" w:rsidRDefault="005216E6" w:rsidP="00EB2EFB">
      <w:pPr>
        <w:spacing w:line="200" w:lineRule="exact"/>
        <w:rPr>
          <w:rFonts w:cs="Arial"/>
          <w:sz w:val="22"/>
          <w:szCs w:val="22"/>
        </w:rPr>
      </w:pPr>
    </w:p>
    <w:p w14:paraId="23AB3C8B" w14:textId="77777777" w:rsidR="005216E6" w:rsidRPr="004F64EE" w:rsidRDefault="005216E6" w:rsidP="005E2B95">
      <w:pPr>
        <w:ind w:firstLine="720"/>
        <w:jc w:val="both"/>
        <w:rPr>
          <w:rFonts w:cs="Arial"/>
          <w:sz w:val="21"/>
          <w:szCs w:val="21"/>
        </w:rPr>
      </w:pPr>
      <w:r w:rsidRPr="004F64EE">
        <w:rPr>
          <w:rFonts w:cs="Arial"/>
          <w:sz w:val="21"/>
          <w:szCs w:val="21"/>
        </w:rPr>
        <w:t xml:space="preserve">The enclosed proxy is solicited by the Board of Directors </w:t>
      </w:r>
      <w:r w:rsidR="006F31D2" w:rsidRPr="004F64EE">
        <w:rPr>
          <w:rFonts w:cs="Arial"/>
          <w:sz w:val="21"/>
          <w:szCs w:val="21"/>
        </w:rPr>
        <w:t xml:space="preserve">(the “Board”) </w:t>
      </w:r>
      <w:r w:rsidRPr="004F64EE">
        <w:rPr>
          <w:rFonts w:cs="Arial"/>
          <w:sz w:val="21"/>
          <w:szCs w:val="21"/>
        </w:rPr>
        <w:t xml:space="preserve">of UNITED-GUARDIAN, INC. (the "Company") for use at the </w:t>
      </w:r>
      <w:r w:rsidR="009144D3" w:rsidRPr="004F64EE">
        <w:rPr>
          <w:rFonts w:cs="Arial"/>
          <w:sz w:val="21"/>
          <w:szCs w:val="21"/>
        </w:rPr>
        <w:t xml:space="preserve">2015 </w:t>
      </w:r>
      <w:r w:rsidRPr="004F64EE">
        <w:rPr>
          <w:rFonts w:cs="Arial"/>
          <w:sz w:val="21"/>
          <w:szCs w:val="21"/>
        </w:rPr>
        <w:t>Annual Meeting of Stockholders (the "Annual Meeting") to be held at 10:00 A.M., local time on Wednesday, May 13, 2015 at the offices of Baker Tilly Virchow Krause, LLP, 125 Baylis Road, Suite 300, Melville, NY 11747, and at any adjournments thereof. A proxy granted hereunder is revocable at any time before it is voted by (a) a duly executed proxy bearing a later date, (b) written notice to the Secretary of the Company  received by the Company at any time before such proxy is voted at the Annual Meeting, or (c) attendance at the Annual Meeting and voting in person.</w:t>
      </w:r>
    </w:p>
    <w:p w14:paraId="23AB3C8C" w14:textId="77777777" w:rsidR="005216E6" w:rsidRDefault="005216E6" w:rsidP="00EB2EFB">
      <w:pPr>
        <w:rPr>
          <w:rFonts w:cs="Arial"/>
          <w:sz w:val="22"/>
          <w:szCs w:val="22"/>
        </w:rPr>
      </w:pPr>
    </w:p>
    <w:p w14:paraId="23AB3C8D" w14:textId="77777777" w:rsidR="005216E6" w:rsidRPr="004F64EE" w:rsidRDefault="005216E6" w:rsidP="009330F6">
      <w:pPr>
        <w:ind w:firstLine="720"/>
        <w:jc w:val="both"/>
        <w:rPr>
          <w:rFonts w:cs="Arial"/>
          <w:sz w:val="21"/>
          <w:szCs w:val="21"/>
        </w:rPr>
      </w:pPr>
      <w:r w:rsidRPr="004F64EE">
        <w:rPr>
          <w:rFonts w:cs="Arial"/>
          <w:sz w:val="21"/>
          <w:szCs w:val="21"/>
        </w:rPr>
        <w:t>It is anticipated that the mailing of this Proxy Statement and the accompanying Proxy to stockholders will commence on or about April 14, 2015.</w:t>
      </w:r>
    </w:p>
    <w:p w14:paraId="23AB3C8E" w14:textId="77777777" w:rsidR="005216E6" w:rsidRDefault="005216E6" w:rsidP="00EB2EFB">
      <w:pPr>
        <w:jc w:val="both"/>
        <w:rPr>
          <w:rFonts w:cs="Arial"/>
          <w:sz w:val="22"/>
          <w:szCs w:val="22"/>
        </w:rPr>
      </w:pPr>
    </w:p>
    <w:p w14:paraId="23AB3C8F" w14:textId="77777777" w:rsidR="005216E6" w:rsidRDefault="005216E6" w:rsidP="00EB2EFB">
      <w:pPr>
        <w:jc w:val="center"/>
        <w:rPr>
          <w:rFonts w:cs="Arial"/>
          <w:b/>
          <w:szCs w:val="24"/>
        </w:rPr>
      </w:pPr>
      <w:r>
        <w:rPr>
          <w:rFonts w:cs="Arial"/>
          <w:b/>
          <w:szCs w:val="24"/>
        </w:rPr>
        <w:t>SOLICITATION OF PROXIES</w:t>
      </w:r>
    </w:p>
    <w:p w14:paraId="23AB3C90" w14:textId="77777777" w:rsidR="005216E6" w:rsidRDefault="005216E6" w:rsidP="00EB2EFB">
      <w:pPr>
        <w:rPr>
          <w:rFonts w:cs="Arial"/>
          <w:sz w:val="22"/>
          <w:szCs w:val="22"/>
        </w:rPr>
      </w:pPr>
    </w:p>
    <w:p w14:paraId="23AB3C91" w14:textId="77777777" w:rsidR="005216E6" w:rsidRPr="004F64EE" w:rsidRDefault="005216E6" w:rsidP="004F64EE">
      <w:pPr>
        <w:ind w:firstLine="720"/>
        <w:jc w:val="both"/>
        <w:rPr>
          <w:rFonts w:cs="Arial"/>
          <w:sz w:val="21"/>
          <w:szCs w:val="21"/>
        </w:rPr>
      </w:pPr>
      <w:r w:rsidRPr="004F64EE">
        <w:rPr>
          <w:rFonts w:cs="Arial"/>
          <w:sz w:val="21"/>
          <w:szCs w:val="21"/>
        </w:rPr>
        <w:t>The persons named as proxies are Kenneth H. Globus and Robert S. Rubinger.</w:t>
      </w:r>
    </w:p>
    <w:p w14:paraId="23AB3C92" w14:textId="77777777" w:rsidR="005216E6" w:rsidRDefault="005216E6" w:rsidP="00EB2EFB">
      <w:pPr>
        <w:spacing w:line="220" w:lineRule="exact"/>
        <w:jc w:val="both"/>
        <w:rPr>
          <w:rFonts w:cs="Arial"/>
          <w:sz w:val="22"/>
          <w:szCs w:val="22"/>
        </w:rPr>
      </w:pPr>
    </w:p>
    <w:p w14:paraId="23AB3C93" w14:textId="77777777" w:rsidR="005216E6" w:rsidRPr="004F64EE" w:rsidRDefault="005216E6" w:rsidP="004F64EE">
      <w:pPr>
        <w:ind w:firstLine="720"/>
        <w:jc w:val="both"/>
        <w:rPr>
          <w:rFonts w:cs="Arial"/>
          <w:sz w:val="21"/>
          <w:szCs w:val="21"/>
        </w:rPr>
      </w:pPr>
      <w:r w:rsidRPr="004F64EE">
        <w:rPr>
          <w:rFonts w:cs="Arial"/>
          <w:sz w:val="21"/>
          <w:szCs w:val="21"/>
        </w:rPr>
        <w:t>All shares represented by properly executed, unrevoked proxies received in proper form and in time for use at the Annual Meeting will be voted in accordance with the directions specified thereon and otherwise in accordance with the judgment of the persons designated as proxies. Any proxy on which no direction is specified will be voted in favor of the nominees to the Board listed in this Proxy Statement and for the approval of the proposals to (i) approve the compensation of the Company’s named executive officers; and (ii) ratify the appointment of Baker Tilly Virchow Krause, LLP as the Company's independent registered public accounting firm for the fiscal year ending December 31, 2015</w:t>
      </w:r>
      <w:r w:rsidR="007D1097">
        <w:rPr>
          <w:rFonts w:cs="Arial"/>
          <w:sz w:val="21"/>
          <w:szCs w:val="21"/>
        </w:rPr>
        <w:t xml:space="preserve">, </w:t>
      </w:r>
      <w:r w:rsidR="007D1097">
        <w:rPr>
          <w:rFonts w:cs="Arial"/>
          <w:sz w:val="22"/>
          <w:szCs w:val="22"/>
        </w:rPr>
        <w:t>but will not be voted on the stockholder proposal included in this Proxy Statement.</w:t>
      </w:r>
      <w:r w:rsidRPr="004F64EE">
        <w:rPr>
          <w:rFonts w:cs="Arial"/>
          <w:sz w:val="21"/>
          <w:szCs w:val="21"/>
        </w:rPr>
        <w:t xml:space="preserve"> If any other matters are properly presented at the Annual Meeting for consideration, the persons named as proxies in a properly delivered proxy card will have the discretion to vote on those matters for the stockholder delivering the proxy card. At the date we filed this Proxy Statement with the Securities and Exchange Commission ("SEC"), the </w:t>
      </w:r>
      <w:r w:rsidR="006F31D2" w:rsidRPr="004F64EE">
        <w:rPr>
          <w:rFonts w:cs="Arial"/>
          <w:sz w:val="21"/>
          <w:szCs w:val="21"/>
        </w:rPr>
        <w:t>Board</w:t>
      </w:r>
      <w:r w:rsidRPr="004F64EE">
        <w:rPr>
          <w:rFonts w:cs="Arial"/>
          <w:sz w:val="21"/>
          <w:szCs w:val="21"/>
        </w:rPr>
        <w:t xml:space="preserve"> was not aware of any other matters to be raised at the Annual Meeting.</w:t>
      </w:r>
    </w:p>
    <w:p w14:paraId="23AB3C94" w14:textId="77777777" w:rsidR="005216E6" w:rsidRDefault="005216E6" w:rsidP="00EB2EFB">
      <w:pPr>
        <w:jc w:val="both"/>
        <w:rPr>
          <w:rFonts w:cs="Arial"/>
          <w:sz w:val="22"/>
          <w:szCs w:val="22"/>
        </w:rPr>
      </w:pPr>
    </w:p>
    <w:p w14:paraId="23AB3C95" w14:textId="77777777" w:rsidR="005216E6" w:rsidRDefault="005216E6" w:rsidP="00EB2EFB">
      <w:pPr>
        <w:jc w:val="both"/>
        <w:rPr>
          <w:rFonts w:cs="Arial"/>
          <w:sz w:val="21"/>
          <w:szCs w:val="21"/>
        </w:rPr>
      </w:pPr>
      <w:r w:rsidRPr="004F64EE">
        <w:rPr>
          <w:rFonts w:cs="Arial"/>
          <w:sz w:val="21"/>
          <w:szCs w:val="21"/>
        </w:rPr>
        <w:t xml:space="preserve">     </w:t>
      </w:r>
      <w:r w:rsidRPr="004F64EE">
        <w:rPr>
          <w:rFonts w:cs="Arial"/>
          <w:sz w:val="21"/>
          <w:szCs w:val="21"/>
        </w:rPr>
        <w:tab/>
        <w:t>The cost of preparing, assembling and mailing the Notice of Annual Meeting, Proxy Statement, proxy card and any other materials enclosed, will be borne by the Company. In addition to the solicitation of proxies by use of the mails, officers and employees of the Company may solicit proxies by telephone, facsimile, or personal interview. They will not receive additional compensation for their effort. The Company will request brokerage houses and other custodians, nominees and fiduciaries to forward soliciting materials to the beneficial owners of stock held of record by such persons, and will reimburse such persons for their expenses in forwarding soliciting material. The Company does not anticipate paying any compensation to any other party for the solicitation of proxies.</w:t>
      </w:r>
    </w:p>
    <w:p w14:paraId="23AB3C96" w14:textId="77777777" w:rsidR="00A6779E" w:rsidRDefault="00A6779E" w:rsidP="00EB2EFB">
      <w:pPr>
        <w:jc w:val="both"/>
        <w:rPr>
          <w:rFonts w:cs="Arial"/>
          <w:sz w:val="21"/>
          <w:szCs w:val="21"/>
        </w:rPr>
      </w:pPr>
    </w:p>
    <w:p w14:paraId="23AB3C97" w14:textId="77777777" w:rsidR="00A155E1" w:rsidRDefault="00A155E1" w:rsidP="00EB2EFB">
      <w:pPr>
        <w:jc w:val="both"/>
        <w:rPr>
          <w:rFonts w:cs="Arial"/>
          <w:sz w:val="21"/>
          <w:szCs w:val="21"/>
        </w:rPr>
      </w:pPr>
    </w:p>
    <w:p w14:paraId="23AB3C98" w14:textId="77777777" w:rsidR="00A155E1" w:rsidRDefault="00A155E1" w:rsidP="00EB2EFB">
      <w:pPr>
        <w:jc w:val="both"/>
        <w:rPr>
          <w:rFonts w:cs="Arial"/>
          <w:sz w:val="21"/>
          <w:szCs w:val="21"/>
        </w:rPr>
      </w:pPr>
    </w:p>
    <w:p w14:paraId="23AB3C99" w14:textId="77777777" w:rsidR="00A155E1" w:rsidRDefault="00A155E1" w:rsidP="00EB2EFB">
      <w:pPr>
        <w:jc w:val="both"/>
        <w:rPr>
          <w:rFonts w:cs="Arial"/>
          <w:sz w:val="21"/>
          <w:szCs w:val="21"/>
        </w:rPr>
      </w:pPr>
    </w:p>
    <w:p w14:paraId="23AB3C9A" w14:textId="77777777" w:rsidR="00A155E1" w:rsidRDefault="00A155E1" w:rsidP="00EB2EFB">
      <w:pPr>
        <w:jc w:val="both"/>
        <w:rPr>
          <w:rFonts w:cs="Arial"/>
          <w:sz w:val="21"/>
          <w:szCs w:val="21"/>
        </w:rPr>
      </w:pPr>
    </w:p>
    <w:p w14:paraId="23AB3C9B" w14:textId="77777777" w:rsidR="00B9501A" w:rsidRDefault="00B9501A" w:rsidP="00EB2EFB">
      <w:pPr>
        <w:jc w:val="both"/>
        <w:rPr>
          <w:rFonts w:cs="Arial"/>
          <w:sz w:val="21"/>
          <w:szCs w:val="21"/>
        </w:rPr>
      </w:pPr>
    </w:p>
    <w:p w14:paraId="23AB3C9C" w14:textId="77777777" w:rsidR="005216E6" w:rsidRDefault="005216E6" w:rsidP="00EB2EFB">
      <w:pPr>
        <w:jc w:val="both"/>
        <w:rPr>
          <w:rFonts w:cs="Arial"/>
          <w:sz w:val="22"/>
          <w:szCs w:val="22"/>
        </w:rPr>
      </w:pPr>
    </w:p>
    <w:p w14:paraId="23AB3C9D" w14:textId="77777777" w:rsidR="005216E6" w:rsidRDefault="005216E6" w:rsidP="00EB2EFB">
      <w:pPr>
        <w:jc w:val="center"/>
        <w:rPr>
          <w:rFonts w:cs="Arial"/>
          <w:b/>
          <w:szCs w:val="24"/>
        </w:rPr>
      </w:pPr>
      <w:r>
        <w:rPr>
          <w:rFonts w:cs="Arial"/>
          <w:b/>
          <w:szCs w:val="24"/>
        </w:rPr>
        <w:lastRenderedPageBreak/>
        <w:t>VOTING SECURITIES AND PRINCIPAL STOCKHOLDERS</w:t>
      </w:r>
    </w:p>
    <w:p w14:paraId="23AB3C9E" w14:textId="77777777" w:rsidR="005216E6" w:rsidRDefault="005216E6" w:rsidP="00EB2EFB">
      <w:pPr>
        <w:jc w:val="both"/>
        <w:rPr>
          <w:rFonts w:cs="Arial"/>
          <w:b/>
          <w:sz w:val="22"/>
          <w:szCs w:val="22"/>
        </w:rPr>
      </w:pPr>
    </w:p>
    <w:p w14:paraId="23AB3C9F" w14:textId="77777777" w:rsidR="005216E6" w:rsidRDefault="005216E6" w:rsidP="00EB2EFB">
      <w:pPr>
        <w:jc w:val="both"/>
        <w:rPr>
          <w:rFonts w:cs="Arial"/>
          <w:b/>
          <w:sz w:val="22"/>
          <w:szCs w:val="22"/>
        </w:rPr>
      </w:pPr>
      <w:r>
        <w:rPr>
          <w:rFonts w:cs="Arial"/>
          <w:b/>
          <w:sz w:val="22"/>
          <w:szCs w:val="22"/>
        </w:rPr>
        <w:t>Outstanding Shares and Voting Rights</w:t>
      </w:r>
    </w:p>
    <w:p w14:paraId="23AB3CA0" w14:textId="77777777" w:rsidR="005216E6" w:rsidRDefault="005216E6" w:rsidP="00EB2EFB">
      <w:pPr>
        <w:jc w:val="both"/>
        <w:rPr>
          <w:rFonts w:cs="Arial"/>
          <w:sz w:val="22"/>
          <w:szCs w:val="22"/>
        </w:rPr>
      </w:pPr>
    </w:p>
    <w:p w14:paraId="23AB3CA1" w14:textId="77777777" w:rsidR="005216E6" w:rsidRPr="004F64EE" w:rsidRDefault="005216E6" w:rsidP="00EB2EFB">
      <w:pPr>
        <w:jc w:val="both"/>
        <w:rPr>
          <w:rFonts w:cs="Arial"/>
          <w:sz w:val="21"/>
          <w:szCs w:val="21"/>
        </w:rPr>
      </w:pPr>
      <w:r w:rsidRPr="004F64EE">
        <w:rPr>
          <w:rFonts w:cs="Arial"/>
          <w:sz w:val="21"/>
          <w:szCs w:val="21"/>
        </w:rPr>
        <w:t xml:space="preserve">     </w:t>
      </w:r>
      <w:r w:rsidRPr="004F64EE">
        <w:rPr>
          <w:rFonts w:cs="Arial"/>
          <w:sz w:val="21"/>
          <w:szCs w:val="21"/>
        </w:rPr>
        <w:tab/>
        <w:t>Only holders of record of the Company's Common Stock, par value $.10 per share ("Common Stock"), at the close of business on March 27, 2015, will be entitled to notice of and to vote at the Annual Meeting. On March 27, 2015, there were 4,596,439 shares of Common Stock outstanding. Each outstanding share of Common Stock is entitled to one vote on all matters submitted to a vote at the Annual Meeting, which vote may be given in person or by proxy. There are no cumulative voting rights.</w:t>
      </w:r>
    </w:p>
    <w:p w14:paraId="23AB3CA2" w14:textId="77777777" w:rsidR="005216E6" w:rsidRDefault="005216E6" w:rsidP="00EB2EFB">
      <w:pPr>
        <w:jc w:val="both"/>
        <w:rPr>
          <w:rFonts w:cs="Arial"/>
          <w:sz w:val="22"/>
          <w:szCs w:val="22"/>
        </w:rPr>
      </w:pPr>
    </w:p>
    <w:p w14:paraId="23AB3CA3" w14:textId="77777777" w:rsidR="005216E6" w:rsidRPr="004F64EE" w:rsidRDefault="005216E6" w:rsidP="00EB2EFB">
      <w:pPr>
        <w:jc w:val="both"/>
        <w:rPr>
          <w:rFonts w:cs="Arial"/>
          <w:sz w:val="21"/>
          <w:szCs w:val="21"/>
        </w:rPr>
      </w:pPr>
      <w:r w:rsidRPr="004F64EE">
        <w:rPr>
          <w:rFonts w:cs="Arial"/>
          <w:sz w:val="21"/>
          <w:szCs w:val="21"/>
        </w:rPr>
        <w:t xml:space="preserve">     </w:t>
      </w:r>
      <w:r w:rsidRPr="004F64EE">
        <w:rPr>
          <w:rFonts w:cs="Arial"/>
          <w:sz w:val="21"/>
          <w:szCs w:val="21"/>
        </w:rPr>
        <w:tab/>
        <w:t xml:space="preserve">Nominees for director are elected if the votes cast for a nominee’s election exceed the votes cast against that nominee’s election. </w:t>
      </w:r>
    </w:p>
    <w:p w14:paraId="23AB3CA4" w14:textId="77777777" w:rsidR="005216E6" w:rsidRDefault="005216E6" w:rsidP="00EB2EFB">
      <w:pPr>
        <w:jc w:val="both"/>
        <w:rPr>
          <w:rFonts w:cs="Arial"/>
          <w:sz w:val="22"/>
          <w:szCs w:val="22"/>
        </w:rPr>
      </w:pPr>
    </w:p>
    <w:p w14:paraId="23AB3CA5" w14:textId="77777777" w:rsidR="005216E6" w:rsidRPr="004F64EE" w:rsidRDefault="005216E6" w:rsidP="00EB2EFB">
      <w:pPr>
        <w:jc w:val="both"/>
        <w:rPr>
          <w:rFonts w:cs="Arial"/>
          <w:sz w:val="21"/>
          <w:szCs w:val="21"/>
        </w:rPr>
      </w:pPr>
      <w:r w:rsidRPr="004F64EE">
        <w:rPr>
          <w:rFonts w:cs="Arial"/>
          <w:sz w:val="21"/>
          <w:szCs w:val="21"/>
        </w:rPr>
        <w:t xml:space="preserve">     </w:t>
      </w:r>
      <w:r w:rsidRPr="004F64EE">
        <w:rPr>
          <w:rFonts w:cs="Arial"/>
          <w:sz w:val="21"/>
          <w:szCs w:val="21"/>
        </w:rPr>
        <w:tab/>
        <w:t>The affirmative vote of the holders of a majority of shares of Common Stock present, in person or by proxy, and eligible to vote at the Annual Meeting is necessary for the approval of the proposals to (i) approve the compensation of the Company’s named executive officers; and (ii) ratify the appointment by the Company of Baker Tilly Virchow Krause, LLP as the Company's independent registered public accounting firm for the fiscal year ending December 31, 2015</w:t>
      </w:r>
      <w:r w:rsidR="00EE0198">
        <w:rPr>
          <w:rFonts w:cs="Arial"/>
          <w:sz w:val="21"/>
          <w:szCs w:val="21"/>
        </w:rPr>
        <w:t xml:space="preserve">, </w:t>
      </w:r>
      <w:r w:rsidR="00EE0198">
        <w:rPr>
          <w:rFonts w:cs="Arial"/>
          <w:sz w:val="22"/>
          <w:szCs w:val="22"/>
        </w:rPr>
        <w:t>and (iii) approve the stockholder proposal described in this Proxy Statement, if properly presented at the Annual Meeting.</w:t>
      </w:r>
    </w:p>
    <w:p w14:paraId="23AB3CA6" w14:textId="77777777" w:rsidR="005216E6" w:rsidRDefault="005216E6" w:rsidP="00EB2EFB">
      <w:pPr>
        <w:jc w:val="both"/>
        <w:rPr>
          <w:rFonts w:cs="Arial"/>
          <w:sz w:val="22"/>
          <w:szCs w:val="22"/>
        </w:rPr>
      </w:pPr>
    </w:p>
    <w:p w14:paraId="23AB3CA7" w14:textId="77777777" w:rsidR="005216E6" w:rsidRPr="004F64EE" w:rsidRDefault="005216E6" w:rsidP="00EB2EFB">
      <w:pPr>
        <w:jc w:val="both"/>
        <w:rPr>
          <w:rFonts w:cs="Arial"/>
          <w:sz w:val="21"/>
          <w:szCs w:val="21"/>
        </w:rPr>
      </w:pPr>
      <w:r w:rsidRPr="004F64EE">
        <w:rPr>
          <w:rFonts w:cs="Arial"/>
          <w:sz w:val="21"/>
          <w:szCs w:val="21"/>
        </w:rPr>
        <w:t xml:space="preserve">     </w:t>
      </w:r>
      <w:r w:rsidRPr="004F64EE">
        <w:rPr>
          <w:rFonts w:cs="Arial"/>
          <w:sz w:val="21"/>
          <w:szCs w:val="21"/>
        </w:rPr>
        <w:tab/>
        <w:t>Any broker holding shares in “street name” on behalf of a stockholder is required to vote those shares in accordance with the stockholder’s instructions. If the stockholder does not give instructions to the broker, the broker will be entitled to vote the shares with respect to “routine” items, but will not be permitted to vote the shares with respect to non-routine items (resulting in a “broker non-vote”). The ratification of the selection of Baker Tilly Virchow Krause, LLP is a “routine” item. The election of directors</w:t>
      </w:r>
      <w:r w:rsidR="00FD05BB" w:rsidRPr="004F64EE">
        <w:rPr>
          <w:rFonts w:cs="Arial"/>
          <w:sz w:val="21"/>
          <w:szCs w:val="21"/>
        </w:rPr>
        <w:t>,</w:t>
      </w:r>
      <w:r w:rsidRPr="004F64EE">
        <w:rPr>
          <w:rFonts w:cs="Arial"/>
          <w:sz w:val="21"/>
          <w:szCs w:val="21"/>
        </w:rPr>
        <w:t xml:space="preserve"> the advisory vote relating to the compensation of the Company’s named executive officers</w:t>
      </w:r>
      <w:r w:rsidR="00FD05BB" w:rsidRPr="004F64EE">
        <w:rPr>
          <w:rFonts w:cs="Arial"/>
          <w:sz w:val="21"/>
          <w:szCs w:val="21"/>
        </w:rPr>
        <w:t>, and the s</w:t>
      </w:r>
      <w:r w:rsidR="00EE0198">
        <w:rPr>
          <w:rFonts w:cs="Arial"/>
          <w:sz w:val="21"/>
          <w:szCs w:val="21"/>
        </w:rPr>
        <w:t>tockh</w:t>
      </w:r>
      <w:r w:rsidR="00FD05BB" w:rsidRPr="004F64EE">
        <w:rPr>
          <w:rFonts w:cs="Arial"/>
          <w:sz w:val="21"/>
          <w:szCs w:val="21"/>
        </w:rPr>
        <w:t>older proposal</w:t>
      </w:r>
      <w:r w:rsidRPr="004F64EE">
        <w:rPr>
          <w:rFonts w:cs="Arial"/>
          <w:sz w:val="21"/>
          <w:szCs w:val="21"/>
        </w:rPr>
        <w:t xml:space="preserve"> are non-routine items.</w:t>
      </w:r>
    </w:p>
    <w:p w14:paraId="23AB3CA8" w14:textId="77777777" w:rsidR="005216E6" w:rsidRDefault="005216E6" w:rsidP="00EB2EFB">
      <w:pPr>
        <w:jc w:val="both"/>
        <w:rPr>
          <w:rFonts w:cs="Arial"/>
          <w:sz w:val="22"/>
          <w:szCs w:val="22"/>
        </w:rPr>
      </w:pPr>
    </w:p>
    <w:p w14:paraId="23AB3CA9" w14:textId="77777777" w:rsidR="005216E6" w:rsidRPr="004F64EE" w:rsidRDefault="005216E6" w:rsidP="00EB2EFB">
      <w:pPr>
        <w:jc w:val="both"/>
        <w:rPr>
          <w:rFonts w:cs="Arial"/>
          <w:sz w:val="21"/>
          <w:szCs w:val="21"/>
        </w:rPr>
      </w:pPr>
      <w:r w:rsidRPr="004F64EE">
        <w:rPr>
          <w:rFonts w:cs="Arial"/>
          <w:sz w:val="21"/>
          <w:szCs w:val="21"/>
        </w:rPr>
        <w:t xml:space="preserve">     </w:t>
      </w:r>
      <w:r w:rsidRPr="004F64EE">
        <w:rPr>
          <w:rFonts w:cs="Arial"/>
          <w:sz w:val="21"/>
          <w:szCs w:val="21"/>
        </w:rPr>
        <w:tab/>
        <w:t xml:space="preserve">Under Delaware law, shares as to which a stockholder abstains or withholds authority to vote and broker non-votes will be treated as present at the Annual Meeting for the purposes of determining a quorum. Proxies marked "Withhold Authority" with respect to the election of one or more directors will not be counted in determining who the six persons are who received the greatest number of votes in the election of directors. Proxies marked "Abstain" with respect to the advisory vote on the frequency of voting on the compensation paid to the Company’s named executive officers, the advisory vote relating to the compensation of the Company’s named executive officers, </w:t>
      </w:r>
      <w:r w:rsidR="00EE0198">
        <w:rPr>
          <w:rFonts w:cs="Arial"/>
          <w:sz w:val="21"/>
          <w:szCs w:val="21"/>
        </w:rPr>
        <w:t>the</w:t>
      </w:r>
      <w:r w:rsidRPr="004F64EE">
        <w:rPr>
          <w:rFonts w:cs="Arial"/>
          <w:sz w:val="21"/>
          <w:szCs w:val="21"/>
        </w:rPr>
        <w:t xml:space="preserve"> ratification of the appointment of Baker Tilly Virchow Krause, LLP as the Company's independent registered public accounting firm for the fiscal year ending December 31, 2015, </w:t>
      </w:r>
      <w:r w:rsidR="00EE0198">
        <w:rPr>
          <w:rFonts w:cs="Arial"/>
          <w:sz w:val="22"/>
          <w:szCs w:val="22"/>
        </w:rPr>
        <w:t xml:space="preserve">and the stockholder proposal, if properly presented at the Annual Meeting, </w:t>
      </w:r>
      <w:r w:rsidRPr="004F64EE">
        <w:rPr>
          <w:rFonts w:cs="Arial"/>
          <w:sz w:val="21"/>
          <w:szCs w:val="21"/>
        </w:rPr>
        <w:t>will have the effect of a vote against approval or ratification.</w:t>
      </w:r>
    </w:p>
    <w:p w14:paraId="23AB3CAA" w14:textId="77777777" w:rsidR="005216E6" w:rsidRDefault="005216E6" w:rsidP="00EB2EFB">
      <w:pPr>
        <w:jc w:val="both"/>
        <w:rPr>
          <w:rFonts w:cs="Arial"/>
          <w:sz w:val="22"/>
          <w:szCs w:val="22"/>
        </w:rPr>
      </w:pPr>
    </w:p>
    <w:p w14:paraId="23AB3CAB" w14:textId="77777777" w:rsidR="005216E6" w:rsidRDefault="005216E6" w:rsidP="00EB2EFB">
      <w:pPr>
        <w:spacing w:line="220" w:lineRule="exact"/>
        <w:jc w:val="both"/>
        <w:rPr>
          <w:rFonts w:cs="Arial"/>
          <w:b/>
          <w:sz w:val="22"/>
          <w:szCs w:val="22"/>
        </w:rPr>
      </w:pPr>
      <w:r>
        <w:rPr>
          <w:rFonts w:cs="Arial"/>
          <w:b/>
          <w:sz w:val="22"/>
          <w:szCs w:val="22"/>
        </w:rPr>
        <w:t>Security Ownership of Certain Beneficial Owners</w:t>
      </w:r>
    </w:p>
    <w:p w14:paraId="23AB3CAC" w14:textId="77777777" w:rsidR="005216E6" w:rsidRDefault="005216E6" w:rsidP="00EB2EFB">
      <w:pPr>
        <w:spacing w:line="220" w:lineRule="exact"/>
        <w:jc w:val="both"/>
        <w:rPr>
          <w:rFonts w:cs="Arial"/>
          <w:sz w:val="22"/>
          <w:szCs w:val="22"/>
        </w:rPr>
      </w:pPr>
    </w:p>
    <w:p w14:paraId="23AB3CAD" w14:textId="77777777" w:rsidR="001745D2" w:rsidRDefault="005216E6" w:rsidP="004F64EE">
      <w:pPr>
        <w:jc w:val="both"/>
        <w:rPr>
          <w:rFonts w:cs="Arial"/>
          <w:sz w:val="22"/>
          <w:szCs w:val="22"/>
        </w:rPr>
      </w:pPr>
      <w:r w:rsidRPr="004F64EE">
        <w:rPr>
          <w:rFonts w:cs="Arial"/>
          <w:sz w:val="21"/>
          <w:szCs w:val="21"/>
        </w:rPr>
        <w:t xml:space="preserve">     </w:t>
      </w:r>
      <w:r w:rsidRPr="004F64EE">
        <w:rPr>
          <w:rFonts w:cs="Arial"/>
          <w:sz w:val="21"/>
          <w:szCs w:val="21"/>
        </w:rPr>
        <w:tab/>
        <w:t xml:space="preserve">The following table sets forth the shares of the Company's Common Stock, par value $.10 per share (the only class of stock issued and outstanding), owned beneficially by each person who, as of March </w:t>
      </w:r>
      <w:r w:rsidR="00FC1BA0">
        <w:rPr>
          <w:rFonts w:cs="Arial"/>
          <w:sz w:val="21"/>
          <w:szCs w:val="21"/>
        </w:rPr>
        <w:t>27</w:t>
      </w:r>
      <w:r w:rsidRPr="004F64EE">
        <w:rPr>
          <w:rFonts w:cs="Arial"/>
          <w:sz w:val="21"/>
          <w:szCs w:val="21"/>
        </w:rPr>
        <w:t>, 2015, is known by the Company to have owned beneficially more than 5% of the outstanding Common Stock. Regarding the shares referenced in footnote (1) below, the beneficial owner has both sole voting power and sole investment power, except for those shares held by his spouse as noted.</w:t>
      </w:r>
      <w:r>
        <w:rPr>
          <w:rFonts w:cs="Arial"/>
          <w:sz w:val="22"/>
          <w:szCs w:val="22"/>
        </w:rPr>
        <w:t xml:space="preserve">   </w:t>
      </w:r>
    </w:p>
    <w:p w14:paraId="23AB3CAE" w14:textId="77777777" w:rsidR="005216E6" w:rsidRDefault="005216E6" w:rsidP="004F64EE">
      <w:pPr>
        <w:jc w:val="both"/>
        <w:rPr>
          <w:rFonts w:cs="Arial"/>
          <w:sz w:val="22"/>
          <w:szCs w:val="22"/>
        </w:rPr>
      </w:pPr>
      <w:r>
        <w:rPr>
          <w:rFonts w:cs="Arial"/>
          <w:sz w:val="22"/>
          <w:szCs w:val="22"/>
        </w:rPr>
        <w:t xml:space="preserve">       </w:t>
      </w:r>
    </w:p>
    <w:p w14:paraId="23AB3CAF" w14:textId="77777777" w:rsidR="005216E6" w:rsidRPr="004F64EE" w:rsidRDefault="00A6779E" w:rsidP="00DF2B45">
      <w:pPr>
        <w:keepNext/>
        <w:spacing w:after="120"/>
        <w:ind w:firstLine="720"/>
        <w:rPr>
          <w:rFonts w:cs="Arial"/>
          <w:sz w:val="18"/>
          <w:szCs w:val="18"/>
          <w:u w:val="single"/>
        </w:rPr>
      </w:pPr>
      <w:r>
        <w:rPr>
          <w:rFonts w:cs="Arial"/>
          <w:sz w:val="18"/>
          <w:szCs w:val="18"/>
        </w:rPr>
        <w:t xml:space="preserve">               </w:t>
      </w:r>
      <w:r w:rsidR="005216E6" w:rsidRPr="004F64EE">
        <w:rPr>
          <w:rFonts w:cs="Arial"/>
          <w:sz w:val="18"/>
          <w:szCs w:val="18"/>
        </w:rPr>
        <w:t xml:space="preserve">Name and Address of             </w:t>
      </w:r>
      <w:r>
        <w:rPr>
          <w:rFonts w:cs="Arial"/>
          <w:sz w:val="18"/>
          <w:szCs w:val="18"/>
        </w:rPr>
        <w:t xml:space="preserve">          </w:t>
      </w:r>
      <w:r w:rsidR="00893B71">
        <w:rPr>
          <w:rFonts w:cs="Arial"/>
          <w:sz w:val="18"/>
          <w:szCs w:val="18"/>
        </w:rPr>
        <w:t xml:space="preserve">    </w:t>
      </w:r>
      <w:r>
        <w:rPr>
          <w:rFonts w:cs="Arial"/>
          <w:sz w:val="18"/>
          <w:szCs w:val="18"/>
        </w:rPr>
        <w:t xml:space="preserve"> </w:t>
      </w:r>
      <w:r w:rsidR="005216E6" w:rsidRPr="004F64EE">
        <w:rPr>
          <w:rFonts w:cs="Arial"/>
          <w:sz w:val="18"/>
          <w:szCs w:val="18"/>
        </w:rPr>
        <w:t xml:space="preserve">          Amount and Nature of</w:t>
      </w:r>
      <w:r w:rsidR="005216E6" w:rsidRPr="004F64EE">
        <w:rPr>
          <w:rFonts w:cs="Arial"/>
          <w:sz w:val="18"/>
          <w:szCs w:val="18"/>
        </w:rPr>
        <w:br/>
        <w:t xml:space="preserve">         </w:t>
      </w:r>
      <w:r>
        <w:rPr>
          <w:rFonts w:cs="Arial"/>
          <w:sz w:val="18"/>
          <w:szCs w:val="18"/>
        </w:rPr>
        <w:t xml:space="preserve">                     </w:t>
      </w:r>
      <w:r w:rsidR="005216E6" w:rsidRPr="004F64EE">
        <w:rPr>
          <w:rFonts w:cs="Arial"/>
          <w:sz w:val="18"/>
          <w:szCs w:val="18"/>
        </w:rPr>
        <w:t xml:space="preserve">   </w:t>
      </w:r>
      <w:r w:rsidR="005216E6" w:rsidRPr="004F64EE">
        <w:rPr>
          <w:rFonts w:cs="Arial"/>
          <w:sz w:val="18"/>
          <w:szCs w:val="18"/>
          <w:u w:val="single"/>
        </w:rPr>
        <w:t>Beneficial Owner</w:t>
      </w:r>
      <w:r w:rsidR="005216E6" w:rsidRPr="004F64EE">
        <w:rPr>
          <w:rFonts w:cs="Arial"/>
          <w:sz w:val="18"/>
          <w:szCs w:val="18"/>
        </w:rPr>
        <w:t xml:space="preserve">                           </w:t>
      </w:r>
      <w:r w:rsidR="00893B71">
        <w:rPr>
          <w:rFonts w:cs="Arial"/>
          <w:sz w:val="18"/>
          <w:szCs w:val="18"/>
        </w:rPr>
        <w:t xml:space="preserve">    </w:t>
      </w:r>
      <w:r w:rsidR="005216E6" w:rsidRPr="004F64EE">
        <w:rPr>
          <w:rFonts w:cs="Arial"/>
          <w:sz w:val="18"/>
          <w:szCs w:val="18"/>
        </w:rPr>
        <w:t xml:space="preserve">            </w:t>
      </w:r>
      <w:r w:rsidR="005216E6" w:rsidRPr="004F64EE">
        <w:rPr>
          <w:rFonts w:cs="Arial"/>
          <w:sz w:val="18"/>
          <w:szCs w:val="18"/>
          <w:u w:val="single"/>
        </w:rPr>
        <w:t>Beneficial Ownership</w:t>
      </w:r>
      <w:r w:rsidR="005216E6" w:rsidRPr="004F64EE">
        <w:rPr>
          <w:rFonts w:cs="Arial"/>
          <w:sz w:val="18"/>
          <w:szCs w:val="18"/>
        </w:rPr>
        <w:t xml:space="preserve">             </w:t>
      </w:r>
      <w:r>
        <w:rPr>
          <w:rFonts w:cs="Arial"/>
          <w:sz w:val="18"/>
          <w:szCs w:val="18"/>
        </w:rPr>
        <w:t xml:space="preserve">         </w:t>
      </w:r>
      <w:r w:rsidR="005216E6" w:rsidRPr="004F64EE">
        <w:rPr>
          <w:rFonts w:cs="Arial"/>
          <w:sz w:val="18"/>
          <w:szCs w:val="18"/>
        </w:rPr>
        <w:t xml:space="preserve">     </w:t>
      </w:r>
      <w:r w:rsidR="005216E6" w:rsidRPr="004F64EE">
        <w:rPr>
          <w:rFonts w:cs="Arial"/>
          <w:sz w:val="18"/>
          <w:szCs w:val="18"/>
          <w:u w:val="single"/>
        </w:rPr>
        <w:t>Percent of Class</w:t>
      </w:r>
    </w:p>
    <w:p w14:paraId="23AB3CB0" w14:textId="77777777" w:rsidR="005216E6" w:rsidRDefault="005216E6" w:rsidP="00EB2EFB">
      <w:pPr>
        <w:keepNext/>
        <w:jc w:val="both"/>
        <w:rPr>
          <w:rFonts w:cs="Arial"/>
          <w:sz w:val="22"/>
          <w:szCs w:val="22"/>
        </w:rPr>
      </w:pPr>
    </w:p>
    <w:tbl>
      <w:tblPr>
        <w:tblW w:w="0" w:type="auto"/>
        <w:tblInd w:w="648" w:type="dxa"/>
        <w:tblLayout w:type="fixed"/>
        <w:tblLook w:val="0000" w:firstRow="0" w:lastRow="0" w:firstColumn="0" w:lastColumn="0" w:noHBand="0" w:noVBand="0"/>
      </w:tblPr>
      <w:tblGrid>
        <w:gridCol w:w="4410"/>
        <w:gridCol w:w="1350"/>
        <w:gridCol w:w="1980"/>
        <w:gridCol w:w="900"/>
      </w:tblGrid>
      <w:tr w:rsidR="005216E6" w:rsidRPr="00A6779E" w14:paraId="23AB3CB7" w14:textId="77777777" w:rsidTr="004F64EE">
        <w:trPr>
          <w:trHeight w:hRule="exact" w:val="891"/>
        </w:trPr>
        <w:tc>
          <w:tcPr>
            <w:tcW w:w="4410" w:type="dxa"/>
          </w:tcPr>
          <w:p w14:paraId="23AB3CB1" w14:textId="77777777" w:rsidR="005216E6" w:rsidRPr="004F64EE" w:rsidRDefault="005216E6" w:rsidP="00EB2EFB">
            <w:pPr>
              <w:keepNext/>
              <w:snapToGrid w:val="0"/>
              <w:spacing w:before="20" w:line="220" w:lineRule="exact"/>
              <w:rPr>
                <w:rFonts w:cs="Arial"/>
                <w:sz w:val="18"/>
                <w:szCs w:val="18"/>
              </w:rPr>
            </w:pPr>
            <w:r w:rsidRPr="004F64EE">
              <w:rPr>
                <w:rFonts w:cs="Arial"/>
                <w:sz w:val="18"/>
                <w:szCs w:val="18"/>
              </w:rPr>
              <w:t>Kenneth H. Globus</w:t>
            </w:r>
          </w:p>
          <w:p w14:paraId="23AB3CB2" w14:textId="77777777" w:rsidR="005216E6" w:rsidRPr="004F64EE" w:rsidRDefault="005216E6" w:rsidP="00EB2EFB">
            <w:pPr>
              <w:keepNext/>
              <w:snapToGrid w:val="0"/>
              <w:spacing w:before="20" w:line="220" w:lineRule="exact"/>
              <w:rPr>
                <w:rFonts w:cs="Arial"/>
                <w:sz w:val="18"/>
                <w:szCs w:val="18"/>
              </w:rPr>
            </w:pPr>
            <w:r w:rsidRPr="004F64EE">
              <w:rPr>
                <w:rFonts w:cs="Arial"/>
                <w:sz w:val="18"/>
                <w:szCs w:val="18"/>
              </w:rPr>
              <w:t>c/o United-Guardian, Inc..</w:t>
            </w:r>
          </w:p>
          <w:p w14:paraId="23AB3CB3" w14:textId="77777777" w:rsidR="005216E6" w:rsidRPr="004F64EE" w:rsidRDefault="005216E6" w:rsidP="001745D2">
            <w:pPr>
              <w:keepNext/>
              <w:snapToGrid w:val="0"/>
              <w:spacing w:before="20" w:line="220" w:lineRule="exact"/>
              <w:rPr>
                <w:rFonts w:cs="Arial"/>
                <w:sz w:val="18"/>
                <w:szCs w:val="18"/>
              </w:rPr>
            </w:pPr>
            <w:r w:rsidRPr="004F64EE">
              <w:rPr>
                <w:rFonts w:cs="Arial"/>
                <w:sz w:val="18"/>
                <w:szCs w:val="18"/>
              </w:rPr>
              <w:t>230 Marcus Blvd.</w:t>
            </w:r>
            <w:r w:rsidR="001745D2">
              <w:rPr>
                <w:rFonts w:cs="Arial"/>
                <w:sz w:val="18"/>
                <w:szCs w:val="18"/>
              </w:rPr>
              <w:t xml:space="preserve">,  </w:t>
            </w:r>
            <w:r w:rsidRPr="004F64EE">
              <w:rPr>
                <w:rFonts w:cs="Arial"/>
                <w:sz w:val="18"/>
                <w:szCs w:val="18"/>
              </w:rPr>
              <w:t>Hauppauge, NY 11788</w:t>
            </w:r>
          </w:p>
        </w:tc>
        <w:tc>
          <w:tcPr>
            <w:tcW w:w="1350" w:type="dxa"/>
          </w:tcPr>
          <w:p w14:paraId="23AB3CB4" w14:textId="77777777" w:rsidR="005216E6" w:rsidRPr="004F64EE" w:rsidRDefault="005216E6" w:rsidP="00EB2EFB">
            <w:pPr>
              <w:keepNext/>
              <w:snapToGrid w:val="0"/>
              <w:spacing w:before="20" w:line="220" w:lineRule="exact"/>
              <w:jc w:val="right"/>
              <w:rPr>
                <w:rFonts w:cs="Arial"/>
                <w:sz w:val="18"/>
                <w:szCs w:val="18"/>
              </w:rPr>
            </w:pPr>
            <w:r w:rsidRPr="004F64EE">
              <w:rPr>
                <w:rFonts w:cs="Arial"/>
                <w:sz w:val="18"/>
                <w:szCs w:val="18"/>
              </w:rPr>
              <w:t>1,401,293</w:t>
            </w:r>
          </w:p>
        </w:tc>
        <w:tc>
          <w:tcPr>
            <w:tcW w:w="1980" w:type="dxa"/>
          </w:tcPr>
          <w:p w14:paraId="23AB3CB5" w14:textId="77777777" w:rsidR="005216E6" w:rsidRPr="004F64EE" w:rsidRDefault="005216E6" w:rsidP="00EB2EFB">
            <w:pPr>
              <w:keepNext/>
              <w:snapToGrid w:val="0"/>
              <w:spacing w:before="20" w:line="220" w:lineRule="exact"/>
              <w:rPr>
                <w:rFonts w:cs="Arial"/>
                <w:sz w:val="18"/>
                <w:szCs w:val="18"/>
              </w:rPr>
            </w:pPr>
            <w:r w:rsidRPr="004F64EE">
              <w:rPr>
                <w:rFonts w:cs="Arial"/>
                <w:sz w:val="18"/>
                <w:szCs w:val="18"/>
              </w:rPr>
              <w:t>(1)</w:t>
            </w:r>
          </w:p>
        </w:tc>
        <w:tc>
          <w:tcPr>
            <w:tcW w:w="900" w:type="dxa"/>
          </w:tcPr>
          <w:p w14:paraId="23AB3CB6" w14:textId="77777777" w:rsidR="005216E6" w:rsidRPr="004F64EE" w:rsidRDefault="005216E6" w:rsidP="00EB2EFB">
            <w:pPr>
              <w:keepNext/>
              <w:snapToGrid w:val="0"/>
              <w:spacing w:before="20" w:line="220" w:lineRule="exact"/>
              <w:jc w:val="right"/>
              <w:rPr>
                <w:rFonts w:cs="Arial"/>
                <w:sz w:val="18"/>
                <w:szCs w:val="18"/>
              </w:rPr>
            </w:pPr>
            <w:r w:rsidRPr="004F64EE">
              <w:rPr>
                <w:rFonts w:cs="Arial"/>
                <w:sz w:val="18"/>
                <w:szCs w:val="18"/>
              </w:rPr>
              <w:t>30.5%</w:t>
            </w:r>
          </w:p>
        </w:tc>
      </w:tr>
      <w:tr w:rsidR="005216E6" w:rsidRPr="00A6779E" w14:paraId="23AB3CBD" w14:textId="77777777" w:rsidTr="004F64EE">
        <w:trPr>
          <w:trHeight w:hRule="exact" w:val="630"/>
        </w:trPr>
        <w:tc>
          <w:tcPr>
            <w:tcW w:w="4410" w:type="dxa"/>
          </w:tcPr>
          <w:p w14:paraId="23AB3CB8" w14:textId="77777777" w:rsidR="005216E6" w:rsidRPr="004F64EE" w:rsidRDefault="005216E6" w:rsidP="00EB2EFB">
            <w:pPr>
              <w:keepNext/>
              <w:snapToGrid w:val="0"/>
              <w:spacing w:before="20" w:line="220" w:lineRule="exact"/>
              <w:rPr>
                <w:rFonts w:cs="Arial"/>
                <w:sz w:val="18"/>
                <w:szCs w:val="18"/>
              </w:rPr>
            </w:pPr>
            <w:r w:rsidRPr="004F64EE">
              <w:rPr>
                <w:rFonts w:cs="Arial"/>
                <w:sz w:val="18"/>
                <w:szCs w:val="18"/>
              </w:rPr>
              <w:t>Dr. Betsee Parker</w:t>
            </w:r>
          </w:p>
          <w:p w14:paraId="23AB3CB9" w14:textId="77777777" w:rsidR="005216E6" w:rsidRPr="004F64EE" w:rsidRDefault="005216E6" w:rsidP="001745D2">
            <w:pPr>
              <w:keepNext/>
              <w:spacing w:before="20" w:line="220" w:lineRule="exact"/>
              <w:rPr>
                <w:rFonts w:cs="Arial"/>
                <w:sz w:val="18"/>
                <w:szCs w:val="18"/>
              </w:rPr>
            </w:pPr>
            <w:r w:rsidRPr="004F64EE">
              <w:rPr>
                <w:rFonts w:cs="Arial"/>
                <w:sz w:val="18"/>
                <w:szCs w:val="18"/>
              </w:rPr>
              <w:t>P.O. Box 2198</w:t>
            </w:r>
            <w:r w:rsidR="001745D2">
              <w:rPr>
                <w:rFonts w:cs="Arial"/>
                <w:sz w:val="18"/>
                <w:szCs w:val="18"/>
              </w:rPr>
              <w:t xml:space="preserve">, </w:t>
            </w:r>
            <w:r w:rsidRPr="004F64EE">
              <w:rPr>
                <w:rFonts w:cs="Arial"/>
                <w:sz w:val="18"/>
                <w:szCs w:val="18"/>
              </w:rPr>
              <w:t xml:space="preserve">Middleburg, VA 20118 </w:t>
            </w:r>
          </w:p>
        </w:tc>
        <w:tc>
          <w:tcPr>
            <w:tcW w:w="1350" w:type="dxa"/>
          </w:tcPr>
          <w:p w14:paraId="23AB3CBA" w14:textId="77777777" w:rsidR="005216E6" w:rsidRPr="004F64EE" w:rsidRDefault="00D830FF" w:rsidP="00976C29">
            <w:pPr>
              <w:keepNext/>
              <w:snapToGrid w:val="0"/>
              <w:spacing w:before="20" w:line="220" w:lineRule="exact"/>
              <w:jc w:val="right"/>
              <w:rPr>
                <w:rFonts w:cs="Arial"/>
                <w:sz w:val="18"/>
                <w:szCs w:val="18"/>
                <w:highlight w:val="yellow"/>
              </w:rPr>
            </w:pPr>
            <w:r w:rsidRPr="004F64EE">
              <w:rPr>
                <w:rFonts w:cs="Arial"/>
                <w:sz w:val="18"/>
                <w:szCs w:val="18"/>
                <w:highlight w:val="yellow"/>
              </w:rPr>
              <w:t>5</w:t>
            </w:r>
            <w:r w:rsidR="00976C29">
              <w:rPr>
                <w:rFonts w:cs="Arial"/>
                <w:sz w:val="18"/>
                <w:szCs w:val="18"/>
                <w:highlight w:val="yellow"/>
              </w:rPr>
              <w:t>39</w:t>
            </w:r>
            <w:r w:rsidRPr="004F64EE">
              <w:rPr>
                <w:rFonts w:cs="Arial"/>
                <w:sz w:val="18"/>
                <w:szCs w:val="18"/>
                <w:highlight w:val="yellow"/>
              </w:rPr>
              <w:t>,</w:t>
            </w:r>
            <w:r w:rsidR="00976C29">
              <w:rPr>
                <w:rFonts w:cs="Arial"/>
                <w:sz w:val="18"/>
                <w:szCs w:val="18"/>
                <w:highlight w:val="yellow"/>
              </w:rPr>
              <w:t>739</w:t>
            </w:r>
            <w:r w:rsidR="005216E6" w:rsidRPr="004F64EE">
              <w:rPr>
                <w:rFonts w:cs="Arial"/>
                <w:sz w:val="18"/>
                <w:szCs w:val="18"/>
                <w:highlight w:val="yellow"/>
              </w:rPr>
              <w:t xml:space="preserve"> </w:t>
            </w:r>
          </w:p>
        </w:tc>
        <w:tc>
          <w:tcPr>
            <w:tcW w:w="1980" w:type="dxa"/>
          </w:tcPr>
          <w:p w14:paraId="23AB3CBB" w14:textId="77777777" w:rsidR="005216E6" w:rsidRPr="004F64EE" w:rsidRDefault="005216E6" w:rsidP="00EB2EFB">
            <w:pPr>
              <w:keepNext/>
              <w:snapToGrid w:val="0"/>
              <w:spacing w:before="20" w:line="220" w:lineRule="exact"/>
              <w:rPr>
                <w:rFonts w:cs="Arial"/>
                <w:sz w:val="18"/>
                <w:szCs w:val="18"/>
                <w:highlight w:val="yellow"/>
              </w:rPr>
            </w:pPr>
          </w:p>
        </w:tc>
        <w:tc>
          <w:tcPr>
            <w:tcW w:w="900" w:type="dxa"/>
          </w:tcPr>
          <w:p w14:paraId="23AB3CBC" w14:textId="77777777" w:rsidR="005216E6" w:rsidRPr="004F64EE" w:rsidRDefault="005216E6" w:rsidP="00EB2EFB">
            <w:pPr>
              <w:keepNext/>
              <w:snapToGrid w:val="0"/>
              <w:spacing w:before="20" w:line="220" w:lineRule="exact"/>
              <w:jc w:val="right"/>
              <w:rPr>
                <w:rFonts w:cs="Arial"/>
                <w:sz w:val="18"/>
                <w:szCs w:val="18"/>
                <w:highlight w:val="yellow"/>
              </w:rPr>
            </w:pPr>
            <w:r w:rsidRPr="004F64EE">
              <w:rPr>
                <w:rFonts w:cs="Arial"/>
                <w:sz w:val="18"/>
                <w:szCs w:val="18"/>
                <w:highlight w:val="yellow"/>
              </w:rPr>
              <w:t>1</w:t>
            </w:r>
            <w:r w:rsidR="00D830FF" w:rsidRPr="004F64EE">
              <w:rPr>
                <w:rFonts w:cs="Arial"/>
                <w:sz w:val="18"/>
                <w:szCs w:val="18"/>
                <w:highlight w:val="yellow"/>
              </w:rPr>
              <w:t>1</w:t>
            </w:r>
            <w:r w:rsidRPr="004F64EE">
              <w:rPr>
                <w:rFonts w:cs="Arial"/>
                <w:sz w:val="18"/>
                <w:szCs w:val="18"/>
                <w:highlight w:val="yellow"/>
              </w:rPr>
              <w:t>.</w:t>
            </w:r>
            <w:r w:rsidR="00976C29">
              <w:rPr>
                <w:rFonts w:cs="Arial"/>
                <w:sz w:val="18"/>
                <w:szCs w:val="18"/>
                <w:highlight w:val="yellow"/>
              </w:rPr>
              <w:t>7</w:t>
            </w:r>
            <w:r w:rsidRPr="004F64EE">
              <w:rPr>
                <w:rFonts w:cs="Arial"/>
                <w:sz w:val="18"/>
                <w:szCs w:val="18"/>
                <w:highlight w:val="yellow"/>
              </w:rPr>
              <w:t xml:space="preserve">% </w:t>
            </w:r>
          </w:p>
        </w:tc>
      </w:tr>
      <w:tr w:rsidR="005216E6" w:rsidRPr="00A6779E" w14:paraId="23AB3CC3" w14:textId="77777777" w:rsidTr="004F64EE">
        <w:trPr>
          <w:trHeight w:hRule="exact" w:val="540"/>
        </w:trPr>
        <w:tc>
          <w:tcPr>
            <w:tcW w:w="4410" w:type="dxa"/>
          </w:tcPr>
          <w:p w14:paraId="23AB3CBE" w14:textId="77777777" w:rsidR="005216E6" w:rsidRPr="004F64EE" w:rsidRDefault="005216E6" w:rsidP="00EB2EFB">
            <w:pPr>
              <w:snapToGrid w:val="0"/>
              <w:spacing w:before="20" w:line="220" w:lineRule="exact"/>
              <w:rPr>
                <w:rFonts w:cs="Arial"/>
                <w:sz w:val="18"/>
                <w:szCs w:val="18"/>
              </w:rPr>
            </w:pPr>
            <w:r w:rsidRPr="004F64EE">
              <w:rPr>
                <w:rFonts w:cs="Arial"/>
                <w:sz w:val="18"/>
                <w:szCs w:val="18"/>
              </w:rPr>
              <w:t xml:space="preserve">Mario J. Gabelli </w:t>
            </w:r>
          </w:p>
          <w:p w14:paraId="23AB3CBF" w14:textId="77777777" w:rsidR="005216E6" w:rsidRPr="004F64EE" w:rsidRDefault="005216E6" w:rsidP="001745D2">
            <w:pPr>
              <w:spacing w:before="20" w:line="220" w:lineRule="exact"/>
              <w:rPr>
                <w:rFonts w:cs="Arial"/>
                <w:sz w:val="18"/>
                <w:szCs w:val="18"/>
              </w:rPr>
            </w:pPr>
            <w:r w:rsidRPr="004F64EE">
              <w:rPr>
                <w:rFonts w:cs="Arial"/>
                <w:sz w:val="18"/>
                <w:szCs w:val="18"/>
              </w:rPr>
              <w:t>One Corporate Center</w:t>
            </w:r>
            <w:r w:rsidR="001745D2">
              <w:rPr>
                <w:rFonts w:cs="Arial"/>
                <w:sz w:val="18"/>
                <w:szCs w:val="18"/>
              </w:rPr>
              <w:t xml:space="preserve">, </w:t>
            </w:r>
            <w:r w:rsidRPr="004F64EE">
              <w:rPr>
                <w:rFonts w:cs="Arial"/>
                <w:sz w:val="18"/>
                <w:szCs w:val="18"/>
              </w:rPr>
              <w:t>Rye, NY 10580</w:t>
            </w:r>
          </w:p>
        </w:tc>
        <w:tc>
          <w:tcPr>
            <w:tcW w:w="1350" w:type="dxa"/>
          </w:tcPr>
          <w:p w14:paraId="23AB3CC0" w14:textId="77777777" w:rsidR="005216E6" w:rsidRPr="0036413D" w:rsidRDefault="00021870" w:rsidP="00021870">
            <w:pPr>
              <w:snapToGrid w:val="0"/>
              <w:spacing w:before="20" w:line="220" w:lineRule="exact"/>
              <w:jc w:val="right"/>
              <w:rPr>
                <w:rFonts w:cs="Arial"/>
                <w:sz w:val="18"/>
                <w:szCs w:val="18"/>
              </w:rPr>
            </w:pPr>
            <w:r w:rsidRPr="0036413D">
              <w:rPr>
                <w:rFonts w:cs="Arial"/>
                <w:sz w:val="18"/>
                <w:szCs w:val="18"/>
              </w:rPr>
              <w:t>28</w:t>
            </w:r>
            <w:r w:rsidR="005216E6" w:rsidRPr="0036413D">
              <w:rPr>
                <w:rFonts w:cs="Arial"/>
                <w:sz w:val="18"/>
                <w:szCs w:val="18"/>
              </w:rPr>
              <w:t>3,6</w:t>
            </w:r>
            <w:r w:rsidRPr="0036413D">
              <w:rPr>
                <w:rFonts w:cs="Arial"/>
                <w:sz w:val="18"/>
                <w:szCs w:val="18"/>
              </w:rPr>
              <w:t>00</w:t>
            </w:r>
          </w:p>
        </w:tc>
        <w:tc>
          <w:tcPr>
            <w:tcW w:w="1980" w:type="dxa"/>
          </w:tcPr>
          <w:p w14:paraId="23AB3CC1" w14:textId="77777777" w:rsidR="005216E6" w:rsidRPr="0036413D" w:rsidRDefault="005216E6" w:rsidP="00EB2EFB">
            <w:pPr>
              <w:snapToGrid w:val="0"/>
              <w:spacing w:before="20" w:line="220" w:lineRule="exact"/>
              <w:rPr>
                <w:rFonts w:cs="Arial"/>
                <w:sz w:val="18"/>
                <w:szCs w:val="18"/>
              </w:rPr>
            </w:pPr>
            <w:r w:rsidRPr="0036413D">
              <w:rPr>
                <w:rFonts w:cs="Arial"/>
                <w:sz w:val="18"/>
                <w:szCs w:val="18"/>
              </w:rPr>
              <w:t>(2)</w:t>
            </w:r>
          </w:p>
        </w:tc>
        <w:tc>
          <w:tcPr>
            <w:tcW w:w="900" w:type="dxa"/>
          </w:tcPr>
          <w:p w14:paraId="23AB3CC2" w14:textId="77777777" w:rsidR="005216E6" w:rsidRPr="0036413D" w:rsidRDefault="005216E6" w:rsidP="00021870">
            <w:pPr>
              <w:snapToGrid w:val="0"/>
              <w:spacing w:before="20" w:line="220" w:lineRule="exact"/>
              <w:jc w:val="right"/>
              <w:rPr>
                <w:rFonts w:cs="Arial"/>
                <w:sz w:val="18"/>
                <w:szCs w:val="18"/>
              </w:rPr>
            </w:pPr>
            <w:r w:rsidRPr="0036413D">
              <w:rPr>
                <w:rFonts w:cs="Arial"/>
                <w:sz w:val="18"/>
                <w:szCs w:val="18"/>
              </w:rPr>
              <w:t>6.</w:t>
            </w:r>
            <w:r w:rsidR="00021870" w:rsidRPr="0036413D">
              <w:rPr>
                <w:rFonts w:cs="Arial"/>
                <w:sz w:val="18"/>
                <w:szCs w:val="18"/>
              </w:rPr>
              <w:t>2</w:t>
            </w:r>
            <w:r w:rsidRPr="0036413D">
              <w:rPr>
                <w:rFonts w:cs="Arial"/>
                <w:sz w:val="18"/>
                <w:szCs w:val="18"/>
              </w:rPr>
              <w:t xml:space="preserve">% </w:t>
            </w:r>
          </w:p>
        </w:tc>
      </w:tr>
    </w:tbl>
    <w:p w14:paraId="23AB3CC4" w14:textId="77777777" w:rsidR="005216E6" w:rsidRDefault="005216E6" w:rsidP="00EB2EFB">
      <w:pPr>
        <w:tabs>
          <w:tab w:val="left" w:pos="540"/>
        </w:tabs>
        <w:jc w:val="both"/>
        <w:rPr>
          <w:rFonts w:cs="Arial"/>
          <w:b/>
          <w:sz w:val="22"/>
          <w:szCs w:val="22"/>
        </w:rPr>
      </w:pPr>
    </w:p>
    <w:p w14:paraId="23AB3CC5" w14:textId="77777777" w:rsidR="005216E6" w:rsidRPr="004F64EE" w:rsidRDefault="005216E6" w:rsidP="00ED7DCA">
      <w:pPr>
        <w:tabs>
          <w:tab w:val="left" w:pos="450"/>
        </w:tabs>
        <w:spacing w:after="80"/>
        <w:ind w:left="450" w:hanging="450"/>
        <w:jc w:val="both"/>
        <w:rPr>
          <w:rFonts w:cs="Arial"/>
          <w:sz w:val="18"/>
          <w:szCs w:val="18"/>
        </w:rPr>
      </w:pPr>
      <w:r w:rsidRPr="004F64EE">
        <w:rPr>
          <w:rFonts w:cs="Arial"/>
          <w:sz w:val="18"/>
          <w:szCs w:val="18"/>
        </w:rPr>
        <w:t xml:space="preserve">(1)  </w:t>
      </w:r>
      <w:r w:rsidR="001745D2">
        <w:rPr>
          <w:rFonts w:cs="Arial"/>
          <w:sz w:val="18"/>
          <w:szCs w:val="18"/>
        </w:rPr>
        <w:tab/>
      </w:r>
      <w:r w:rsidRPr="004F64EE">
        <w:rPr>
          <w:rFonts w:cs="Arial"/>
          <w:sz w:val="18"/>
          <w:szCs w:val="18"/>
        </w:rPr>
        <w:t xml:space="preserve">Includes 320,647 shares held directly in his own name, and another 1,080,646 shares held beneficially as follows: 760,000 shares as joint Trustee of the Alfred Globus Testamentary Trust, as to which he has sole voting rights and shared investment power, and 320,646 shares held by his wife. </w:t>
      </w:r>
    </w:p>
    <w:p w14:paraId="23AB3CC6" w14:textId="77777777" w:rsidR="005216E6" w:rsidRDefault="005216E6" w:rsidP="00ED7DCA">
      <w:pPr>
        <w:tabs>
          <w:tab w:val="left" w:pos="540"/>
        </w:tabs>
        <w:ind w:left="446" w:hanging="446"/>
        <w:jc w:val="both"/>
        <w:rPr>
          <w:rFonts w:cs="Arial"/>
          <w:sz w:val="20"/>
        </w:rPr>
      </w:pPr>
    </w:p>
    <w:p w14:paraId="23AB3CC7" w14:textId="77777777" w:rsidR="005216E6" w:rsidRPr="004F64EE" w:rsidRDefault="005216E6" w:rsidP="004F64EE">
      <w:pPr>
        <w:tabs>
          <w:tab w:val="left" w:pos="450"/>
        </w:tabs>
        <w:spacing w:after="80"/>
        <w:ind w:left="450" w:hanging="450"/>
        <w:jc w:val="both"/>
        <w:rPr>
          <w:rFonts w:cs="Arial"/>
          <w:sz w:val="18"/>
          <w:szCs w:val="18"/>
        </w:rPr>
      </w:pPr>
      <w:r w:rsidRPr="004F64EE">
        <w:rPr>
          <w:rFonts w:cs="Arial"/>
          <w:sz w:val="18"/>
          <w:szCs w:val="18"/>
        </w:rPr>
        <w:t>(2)</w:t>
      </w:r>
      <w:r w:rsidRPr="004F64EE">
        <w:rPr>
          <w:rFonts w:cs="Arial"/>
          <w:sz w:val="18"/>
          <w:szCs w:val="18"/>
        </w:rPr>
        <w:tab/>
        <w:t>Based on statements made in filings with the SEC by Mario Gabelli, GGCP, Inc., Teton Advisors, Inc., Gabelli Funds, LLC, GAMCO Asset Management Inc. and GAMCO Investors, Inc. Some of the shares of Common Stock beneficially owned by Mr. Gabelli are also beneficially owned by certain of the entities making the filings. However, none of such entities reported beneficial ownership of shares constituting more than 5% of the outstanding shares of Common Stock of the Company.</w:t>
      </w:r>
    </w:p>
    <w:p w14:paraId="23AB3CC8" w14:textId="77777777" w:rsidR="005216E6" w:rsidRDefault="005216E6" w:rsidP="00EB2EFB">
      <w:pPr>
        <w:ind w:left="450" w:hanging="450"/>
        <w:jc w:val="both"/>
        <w:rPr>
          <w:sz w:val="20"/>
        </w:rPr>
      </w:pPr>
    </w:p>
    <w:p w14:paraId="23AB3CC9" w14:textId="77777777" w:rsidR="005216E6" w:rsidRDefault="005216E6" w:rsidP="000A3C06">
      <w:pPr>
        <w:keepNext/>
        <w:jc w:val="both"/>
        <w:rPr>
          <w:rFonts w:cs="Arial"/>
          <w:b/>
          <w:sz w:val="22"/>
          <w:szCs w:val="22"/>
        </w:rPr>
      </w:pPr>
      <w:r>
        <w:rPr>
          <w:rFonts w:cs="Arial"/>
          <w:b/>
          <w:sz w:val="22"/>
          <w:szCs w:val="22"/>
        </w:rPr>
        <w:t>Related Party Transactions</w:t>
      </w:r>
    </w:p>
    <w:p w14:paraId="23AB3CCA" w14:textId="77777777" w:rsidR="005216E6" w:rsidRPr="004F64EE" w:rsidRDefault="005216E6" w:rsidP="00DB1483">
      <w:pPr>
        <w:pStyle w:val="NormalWeb"/>
        <w:tabs>
          <w:tab w:val="left" w:pos="540"/>
        </w:tabs>
        <w:spacing w:before="180" w:after="0"/>
        <w:jc w:val="both"/>
        <w:rPr>
          <w:rFonts w:ascii="Arial" w:hAnsi="Arial"/>
          <w:color w:val="000000"/>
          <w:sz w:val="21"/>
          <w:szCs w:val="21"/>
        </w:rPr>
      </w:pPr>
      <w:r w:rsidRPr="004F64EE">
        <w:rPr>
          <w:rFonts w:ascii="Arial" w:hAnsi="Arial"/>
          <w:color w:val="000000"/>
          <w:sz w:val="21"/>
          <w:szCs w:val="21"/>
        </w:rPr>
        <w:tab/>
        <w:t xml:space="preserve">The Company has adopted a written policy for the approval of "related party" transactions. Under the policy, related parties are defined to include executive officers and directors of the Company and their immediate family members, a stockholder owning in excess of 5% of the Company, and entities in which any of the foregoing have a substantial ownership interest or control.  The policy applies to any transactions that exceed or are expected to exceed $50,000 in a single calendar year.  </w:t>
      </w:r>
    </w:p>
    <w:p w14:paraId="23AB3CCB" w14:textId="77777777" w:rsidR="005216E6" w:rsidRPr="004F64EE" w:rsidRDefault="005216E6" w:rsidP="00DB1483">
      <w:pPr>
        <w:pStyle w:val="NormalWeb"/>
        <w:tabs>
          <w:tab w:val="left" w:pos="540"/>
        </w:tabs>
        <w:spacing w:before="180" w:after="0"/>
        <w:jc w:val="both"/>
        <w:rPr>
          <w:rFonts w:ascii="Arial" w:hAnsi="Arial"/>
          <w:color w:val="000000"/>
          <w:sz w:val="21"/>
          <w:szCs w:val="21"/>
        </w:rPr>
      </w:pPr>
      <w:r w:rsidRPr="004F64EE">
        <w:rPr>
          <w:rFonts w:ascii="Arial" w:hAnsi="Arial"/>
          <w:color w:val="000000"/>
          <w:sz w:val="21"/>
          <w:szCs w:val="21"/>
        </w:rPr>
        <w:tab/>
        <w:t>The policy provides that the Audit Committee will review transactions subject to the policy and decide whether or not to approve or ratify those transactions. In doing so, the Audit Committee will make a determination as to whether the transaction is in the best interests of the Company and its stockholders, taking into account (a) the benefits to the Company and its stockholders; (b) the extent of the related person’s interest in the transaction; (c) whether the transaction is on terms generally available to an unaffiliated third-party under the same or similar circumstances; (d) the impact or potential impact on a director’s independence in the event the related party is a director, an immediate family member of a director, or an entity in which a director is a partner, shareholder or executive officer; and (e) the terms of each transaction.</w:t>
      </w:r>
    </w:p>
    <w:p w14:paraId="23AB3CCC" w14:textId="77777777" w:rsidR="005216E6" w:rsidRPr="004F64EE" w:rsidRDefault="005216E6" w:rsidP="00DB1483">
      <w:pPr>
        <w:pStyle w:val="NormalWeb"/>
        <w:tabs>
          <w:tab w:val="left" w:pos="540"/>
        </w:tabs>
        <w:spacing w:before="180" w:after="0"/>
        <w:jc w:val="both"/>
        <w:rPr>
          <w:rFonts w:ascii="Arial" w:hAnsi="Arial"/>
          <w:color w:val="000000"/>
          <w:sz w:val="21"/>
          <w:szCs w:val="21"/>
        </w:rPr>
      </w:pPr>
      <w:r w:rsidRPr="004F64EE">
        <w:rPr>
          <w:rFonts w:ascii="Arial" w:hAnsi="Arial"/>
          <w:color w:val="000000"/>
          <w:sz w:val="21"/>
          <w:szCs w:val="21"/>
        </w:rPr>
        <w:tab/>
        <w:t xml:space="preserve">The policy also provides that Director and officer compensation that is approved by the </w:t>
      </w:r>
      <w:r w:rsidR="006F31D2" w:rsidRPr="004F64EE">
        <w:rPr>
          <w:rFonts w:ascii="Arial" w:hAnsi="Arial"/>
          <w:color w:val="000000"/>
          <w:sz w:val="21"/>
          <w:szCs w:val="21"/>
        </w:rPr>
        <w:t>Board</w:t>
      </w:r>
      <w:r w:rsidRPr="004F64EE">
        <w:rPr>
          <w:rFonts w:ascii="Arial" w:hAnsi="Arial"/>
          <w:color w:val="000000"/>
          <w:sz w:val="21"/>
          <w:szCs w:val="21"/>
        </w:rPr>
        <w:t xml:space="preserve"> or the Compensation Committee is exempt from this approval process and will be considered to be pre-approved. </w:t>
      </w:r>
    </w:p>
    <w:p w14:paraId="23AB3CCD" w14:textId="77777777" w:rsidR="005216E6" w:rsidRPr="004F64EE" w:rsidRDefault="005216E6" w:rsidP="00DB1483">
      <w:pPr>
        <w:pStyle w:val="NormalWeb"/>
        <w:tabs>
          <w:tab w:val="left" w:pos="540"/>
        </w:tabs>
        <w:spacing w:before="180" w:after="0"/>
        <w:jc w:val="both"/>
        <w:rPr>
          <w:rFonts w:ascii="Arial" w:hAnsi="Arial"/>
          <w:color w:val="000000"/>
          <w:sz w:val="21"/>
          <w:szCs w:val="21"/>
        </w:rPr>
      </w:pPr>
      <w:r w:rsidRPr="004F64EE">
        <w:rPr>
          <w:rFonts w:ascii="Arial" w:hAnsi="Arial"/>
          <w:color w:val="000000"/>
          <w:sz w:val="21"/>
          <w:szCs w:val="21"/>
        </w:rPr>
        <w:tab/>
        <w:t>The Related Party Transaction Policy can be found on the Company's web site at www.u-g.com.</w:t>
      </w:r>
    </w:p>
    <w:p w14:paraId="23AB3CCE" w14:textId="77777777" w:rsidR="005216E6" w:rsidRPr="004F64EE" w:rsidRDefault="005216E6" w:rsidP="004F64EE">
      <w:pPr>
        <w:pStyle w:val="NormalWeb"/>
        <w:tabs>
          <w:tab w:val="left" w:pos="540"/>
        </w:tabs>
        <w:spacing w:before="180" w:after="0"/>
        <w:jc w:val="both"/>
        <w:rPr>
          <w:color w:val="000000"/>
          <w:sz w:val="21"/>
          <w:szCs w:val="21"/>
        </w:rPr>
      </w:pPr>
      <w:r w:rsidRPr="004F64EE">
        <w:rPr>
          <w:rFonts w:ascii="Arial" w:hAnsi="Arial"/>
          <w:color w:val="000000"/>
          <w:sz w:val="21"/>
          <w:szCs w:val="21"/>
        </w:rPr>
        <w:tab/>
        <w:t>There were no related party transactions during 2014.</w:t>
      </w:r>
    </w:p>
    <w:p w14:paraId="23AB3CCF" w14:textId="77777777" w:rsidR="005216E6" w:rsidRDefault="005216E6" w:rsidP="00EB2EFB">
      <w:pPr>
        <w:spacing w:line="200" w:lineRule="exact"/>
        <w:jc w:val="both"/>
        <w:rPr>
          <w:rFonts w:cs="Arial"/>
          <w:sz w:val="22"/>
          <w:szCs w:val="22"/>
        </w:rPr>
      </w:pPr>
      <w:bookmarkStart w:id="1" w:name="b.1"/>
      <w:bookmarkStart w:id="2" w:name="b.1.i"/>
      <w:bookmarkStart w:id="3" w:name="b.1.ii"/>
      <w:bookmarkStart w:id="4" w:name="b.1.iii"/>
      <w:bookmarkStart w:id="5" w:name="b.1.iv"/>
      <w:bookmarkStart w:id="6" w:name="b.2"/>
      <w:bookmarkStart w:id="7" w:name="b.Inst"/>
      <w:bookmarkStart w:id="8" w:name="b.Inst.1"/>
      <w:bookmarkEnd w:id="1"/>
      <w:bookmarkEnd w:id="2"/>
      <w:bookmarkEnd w:id="3"/>
      <w:bookmarkEnd w:id="4"/>
      <w:bookmarkEnd w:id="5"/>
      <w:bookmarkEnd w:id="6"/>
      <w:bookmarkEnd w:id="7"/>
      <w:bookmarkEnd w:id="8"/>
      <w:r>
        <w:rPr>
          <w:rFonts w:ascii="Verdana" w:hAnsi="Verdana"/>
          <w:sz w:val="18"/>
          <w:szCs w:val="18"/>
        </w:rPr>
        <w:t xml:space="preserve"> </w:t>
      </w:r>
      <w:r>
        <w:rPr>
          <w:rFonts w:cs="Arial"/>
          <w:sz w:val="22"/>
          <w:szCs w:val="22"/>
        </w:rPr>
        <w:t xml:space="preserve"> </w:t>
      </w:r>
    </w:p>
    <w:p w14:paraId="23AB3CD0" w14:textId="77777777" w:rsidR="005216E6" w:rsidRDefault="005216E6" w:rsidP="00EB2EFB">
      <w:pPr>
        <w:keepNext/>
        <w:jc w:val="both"/>
        <w:rPr>
          <w:rFonts w:cs="Arial"/>
          <w:b/>
          <w:sz w:val="22"/>
          <w:szCs w:val="22"/>
        </w:rPr>
      </w:pPr>
      <w:r>
        <w:rPr>
          <w:rFonts w:cs="Arial"/>
          <w:b/>
          <w:sz w:val="22"/>
          <w:szCs w:val="22"/>
        </w:rPr>
        <w:t>Security Ownership of Management</w:t>
      </w:r>
    </w:p>
    <w:p w14:paraId="23AB3CD1" w14:textId="77777777" w:rsidR="005216E6" w:rsidRDefault="005216E6" w:rsidP="00EB2EFB">
      <w:pPr>
        <w:keepNext/>
        <w:jc w:val="both"/>
        <w:rPr>
          <w:rFonts w:cs="Arial"/>
          <w:sz w:val="22"/>
          <w:szCs w:val="22"/>
        </w:rPr>
      </w:pPr>
    </w:p>
    <w:p w14:paraId="23AB3CD2" w14:textId="77777777" w:rsidR="005216E6" w:rsidRPr="004F64EE" w:rsidRDefault="005216E6" w:rsidP="00EB2EFB">
      <w:pPr>
        <w:tabs>
          <w:tab w:val="left" w:pos="540"/>
        </w:tabs>
        <w:jc w:val="both"/>
        <w:rPr>
          <w:rFonts w:cs="Arial"/>
          <w:sz w:val="21"/>
          <w:szCs w:val="21"/>
        </w:rPr>
      </w:pPr>
      <w:r w:rsidRPr="004F64EE">
        <w:rPr>
          <w:rFonts w:cs="Arial"/>
          <w:sz w:val="21"/>
          <w:szCs w:val="21"/>
        </w:rPr>
        <w:tab/>
        <w:t>The following information is furnished with respect to ownership of shares of Common Stock as of March 27, 2015, by each named executive officer, each Director (which includes all nominees for Director) and by all Directors and executive officers of the Company as a group (8 persons). Except as otherwise indicated, the beneficial owner has sole voting and investment power.</w:t>
      </w:r>
    </w:p>
    <w:p w14:paraId="23AB3CD3" w14:textId="77777777" w:rsidR="005216E6" w:rsidRPr="004F64EE" w:rsidRDefault="005216E6" w:rsidP="00EB2EFB">
      <w:pPr>
        <w:keepNext/>
        <w:spacing w:after="120"/>
        <w:rPr>
          <w:rFonts w:cs="Arial"/>
          <w:sz w:val="18"/>
          <w:szCs w:val="18"/>
          <w:u w:val="single"/>
        </w:rPr>
      </w:pPr>
      <w:r w:rsidRPr="004F64EE">
        <w:rPr>
          <w:rFonts w:cs="Arial"/>
          <w:sz w:val="18"/>
          <w:szCs w:val="18"/>
        </w:rPr>
        <w:t xml:space="preserve">                                                                               </w:t>
      </w:r>
      <w:r w:rsidR="00A6779E">
        <w:rPr>
          <w:rFonts w:cs="Arial"/>
          <w:sz w:val="18"/>
          <w:szCs w:val="18"/>
        </w:rPr>
        <w:t xml:space="preserve">                   </w:t>
      </w:r>
      <w:r w:rsidRPr="004F64EE">
        <w:rPr>
          <w:rFonts w:cs="Arial"/>
          <w:sz w:val="18"/>
          <w:szCs w:val="18"/>
        </w:rPr>
        <w:t xml:space="preserve">               </w:t>
      </w:r>
      <w:r w:rsidR="00A6779E">
        <w:rPr>
          <w:rFonts w:cs="Arial"/>
          <w:sz w:val="18"/>
          <w:szCs w:val="18"/>
        </w:rPr>
        <w:t xml:space="preserve"> </w:t>
      </w:r>
      <w:r w:rsidRPr="004F64EE">
        <w:rPr>
          <w:rFonts w:cs="Arial"/>
          <w:sz w:val="18"/>
          <w:szCs w:val="18"/>
        </w:rPr>
        <w:t>Amount and Nature of</w:t>
      </w:r>
      <w:r w:rsidRPr="004F64EE">
        <w:rPr>
          <w:rFonts w:cs="Arial"/>
          <w:sz w:val="18"/>
          <w:szCs w:val="18"/>
        </w:rPr>
        <w:br/>
        <w:t xml:space="preserve">        </w:t>
      </w:r>
      <w:r w:rsidR="00A6779E">
        <w:rPr>
          <w:rFonts w:cs="Arial"/>
          <w:sz w:val="18"/>
          <w:szCs w:val="18"/>
        </w:rPr>
        <w:t xml:space="preserve">      </w:t>
      </w:r>
      <w:r w:rsidRPr="004F64EE">
        <w:rPr>
          <w:rFonts w:cs="Arial"/>
          <w:sz w:val="18"/>
          <w:szCs w:val="18"/>
        </w:rPr>
        <w:t xml:space="preserve"> </w:t>
      </w:r>
      <w:r w:rsidRPr="004F64EE">
        <w:rPr>
          <w:rFonts w:cs="Arial"/>
          <w:sz w:val="18"/>
          <w:szCs w:val="18"/>
          <w:u w:val="single"/>
        </w:rPr>
        <w:t>Name of Beneficial Owner</w:t>
      </w:r>
      <w:r w:rsidRPr="004F64EE">
        <w:rPr>
          <w:rFonts w:cs="Arial"/>
          <w:sz w:val="18"/>
          <w:szCs w:val="18"/>
        </w:rPr>
        <w:t xml:space="preserve">                                         </w:t>
      </w:r>
      <w:r w:rsidR="00A6779E">
        <w:rPr>
          <w:rFonts w:cs="Arial"/>
          <w:sz w:val="18"/>
          <w:szCs w:val="18"/>
        </w:rPr>
        <w:t xml:space="preserve">               </w:t>
      </w:r>
      <w:r w:rsidRPr="004F64EE">
        <w:rPr>
          <w:rFonts w:cs="Arial"/>
          <w:sz w:val="18"/>
          <w:szCs w:val="18"/>
        </w:rPr>
        <w:t xml:space="preserve">   </w:t>
      </w:r>
      <w:r w:rsidRPr="004F64EE">
        <w:rPr>
          <w:rFonts w:cs="Arial"/>
          <w:sz w:val="18"/>
          <w:szCs w:val="18"/>
          <w:u w:val="single"/>
        </w:rPr>
        <w:t>Beneficial Ownership</w:t>
      </w:r>
      <w:r w:rsidRPr="004F64EE">
        <w:rPr>
          <w:rFonts w:cs="Arial"/>
          <w:sz w:val="18"/>
          <w:szCs w:val="18"/>
        </w:rPr>
        <w:t xml:space="preserve">        </w:t>
      </w:r>
      <w:r w:rsidR="00A6779E">
        <w:rPr>
          <w:rFonts w:cs="Arial"/>
          <w:sz w:val="18"/>
          <w:szCs w:val="18"/>
        </w:rPr>
        <w:t xml:space="preserve">             </w:t>
      </w:r>
      <w:r w:rsidRPr="004F64EE">
        <w:rPr>
          <w:rFonts w:cs="Arial"/>
          <w:sz w:val="18"/>
          <w:szCs w:val="18"/>
        </w:rPr>
        <w:t xml:space="preserve">    </w:t>
      </w:r>
      <w:r w:rsidRPr="004F64EE">
        <w:rPr>
          <w:rFonts w:cs="Arial"/>
          <w:sz w:val="18"/>
          <w:szCs w:val="18"/>
          <w:u w:val="single"/>
        </w:rPr>
        <w:t>Percent of Class</w:t>
      </w:r>
    </w:p>
    <w:tbl>
      <w:tblPr>
        <w:tblW w:w="0" w:type="auto"/>
        <w:tblInd w:w="663" w:type="dxa"/>
        <w:tblLayout w:type="fixed"/>
        <w:tblLook w:val="0000" w:firstRow="0" w:lastRow="0" w:firstColumn="0" w:lastColumn="0" w:noHBand="0" w:noVBand="0"/>
      </w:tblPr>
      <w:tblGrid>
        <w:gridCol w:w="5385"/>
        <w:gridCol w:w="1260"/>
        <w:gridCol w:w="900"/>
        <w:gridCol w:w="630"/>
        <w:gridCol w:w="1530"/>
      </w:tblGrid>
      <w:tr w:rsidR="005216E6" w:rsidRPr="00A6779E" w14:paraId="23AB3CD9" w14:textId="77777777">
        <w:trPr>
          <w:trHeight w:val="288"/>
        </w:trPr>
        <w:tc>
          <w:tcPr>
            <w:tcW w:w="5385" w:type="dxa"/>
          </w:tcPr>
          <w:p w14:paraId="23AB3CD4" w14:textId="77777777" w:rsidR="005216E6" w:rsidRPr="004F64EE" w:rsidRDefault="005216E6" w:rsidP="00EB2EFB">
            <w:pPr>
              <w:keepNext/>
              <w:tabs>
                <w:tab w:val="right" w:pos="5940"/>
                <w:tab w:val="right" w:pos="8370"/>
              </w:tabs>
              <w:snapToGrid w:val="0"/>
              <w:spacing w:before="80" w:line="200" w:lineRule="exact"/>
              <w:rPr>
                <w:rFonts w:cs="Arial"/>
                <w:sz w:val="18"/>
                <w:szCs w:val="18"/>
              </w:rPr>
            </w:pPr>
            <w:r w:rsidRPr="004F64EE">
              <w:rPr>
                <w:rFonts w:cs="Arial"/>
                <w:sz w:val="18"/>
                <w:szCs w:val="18"/>
              </w:rPr>
              <w:t>Kenneth H. Globus</w:t>
            </w:r>
          </w:p>
        </w:tc>
        <w:tc>
          <w:tcPr>
            <w:tcW w:w="1260" w:type="dxa"/>
          </w:tcPr>
          <w:p w14:paraId="23AB3CD5" w14:textId="77777777" w:rsidR="005216E6" w:rsidRPr="004F64EE" w:rsidRDefault="005216E6" w:rsidP="00EB2EFB">
            <w:pPr>
              <w:keepNext/>
              <w:tabs>
                <w:tab w:val="right" w:pos="5940"/>
                <w:tab w:val="right" w:pos="8370"/>
              </w:tabs>
              <w:snapToGrid w:val="0"/>
              <w:spacing w:before="80" w:line="200" w:lineRule="exact"/>
              <w:jc w:val="right"/>
              <w:rPr>
                <w:rFonts w:cs="Arial"/>
                <w:sz w:val="18"/>
                <w:szCs w:val="18"/>
              </w:rPr>
            </w:pPr>
            <w:r w:rsidRPr="004F64EE">
              <w:rPr>
                <w:rFonts w:cs="Arial"/>
                <w:sz w:val="18"/>
                <w:szCs w:val="18"/>
              </w:rPr>
              <w:t>1,401,293</w:t>
            </w:r>
          </w:p>
        </w:tc>
        <w:tc>
          <w:tcPr>
            <w:tcW w:w="900" w:type="dxa"/>
          </w:tcPr>
          <w:p w14:paraId="23AB3CD6" w14:textId="77777777" w:rsidR="005216E6" w:rsidRPr="004F64EE" w:rsidRDefault="005216E6" w:rsidP="00EB2EFB">
            <w:pPr>
              <w:keepNext/>
              <w:tabs>
                <w:tab w:val="right" w:pos="5940"/>
                <w:tab w:val="right" w:pos="8370"/>
              </w:tabs>
              <w:snapToGrid w:val="0"/>
              <w:spacing w:before="80" w:line="200" w:lineRule="exact"/>
              <w:rPr>
                <w:rFonts w:cs="Arial"/>
                <w:sz w:val="18"/>
                <w:szCs w:val="18"/>
              </w:rPr>
            </w:pPr>
            <w:r w:rsidRPr="004F64EE">
              <w:rPr>
                <w:rFonts w:cs="Arial"/>
                <w:sz w:val="18"/>
                <w:szCs w:val="18"/>
              </w:rPr>
              <w:t>(1)</w:t>
            </w:r>
          </w:p>
        </w:tc>
        <w:tc>
          <w:tcPr>
            <w:tcW w:w="630" w:type="dxa"/>
          </w:tcPr>
          <w:p w14:paraId="23AB3CD7" w14:textId="77777777" w:rsidR="005216E6" w:rsidRPr="004F64EE" w:rsidRDefault="005216E6" w:rsidP="00EB2EFB">
            <w:pPr>
              <w:keepNext/>
              <w:tabs>
                <w:tab w:val="right" w:pos="5940"/>
                <w:tab w:val="right" w:pos="8370"/>
              </w:tabs>
              <w:snapToGrid w:val="0"/>
              <w:spacing w:before="80" w:line="200" w:lineRule="exact"/>
              <w:rPr>
                <w:rFonts w:cs="Arial"/>
                <w:sz w:val="18"/>
                <w:szCs w:val="18"/>
              </w:rPr>
            </w:pPr>
          </w:p>
        </w:tc>
        <w:tc>
          <w:tcPr>
            <w:tcW w:w="1530" w:type="dxa"/>
          </w:tcPr>
          <w:p w14:paraId="23AB3CD8" w14:textId="77777777" w:rsidR="005216E6" w:rsidRPr="004F64EE" w:rsidRDefault="005216E6" w:rsidP="00EB2EFB">
            <w:pPr>
              <w:keepNext/>
              <w:tabs>
                <w:tab w:val="right" w:pos="5940"/>
                <w:tab w:val="right" w:pos="8370"/>
              </w:tabs>
              <w:snapToGrid w:val="0"/>
              <w:spacing w:before="80" w:line="200" w:lineRule="exact"/>
              <w:jc w:val="center"/>
              <w:rPr>
                <w:rFonts w:cs="Arial"/>
                <w:sz w:val="18"/>
                <w:szCs w:val="18"/>
              </w:rPr>
            </w:pPr>
            <w:r w:rsidRPr="004F64EE">
              <w:rPr>
                <w:rFonts w:cs="Arial"/>
                <w:sz w:val="18"/>
                <w:szCs w:val="18"/>
              </w:rPr>
              <w:t>30.5%</w:t>
            </w:r>
          </w:p>
        </w:tc>
      </w:tr>
      <w:tr w:rsidR="005216E6" w:rsidRPr="00A6779E" w14:paraId="23AB3CDF" w14:textId="77777777" w:rsidTr="00AF0B45">
        <w:trPr>
          <w:trHeight w:val="288"/>
        </w:trPr>
        <w:tc>
          <w:tcPr>
            <w:tcW w:w="5385" w:type="dxa"/>
          </w:tcPr>
          <w:p w14:paraId="23AB3CDA" w14:textId="77777777" w:rsidR="005216E6" w:rsidRPr="004F64EE" w:rsidRDefault="005216E6" w:rsidP="00AF0B45">
            <w:pPr>
              <w:keepNext/>
              <w:tabs>
                <w:tab w:val="right" w:pos="5940"/>
                <w:tab w:val="right" w:pos="8370"/>
              </w:tabs>
              <w:snapToGrid w:val="0"/>
              <w:spacing w:before="80" w:line="200" w:lineRule="exact"/>
              <w:rPr>
                <w:rFonts w:cs="Arial"/>
                <w:sz w:val="18"/>
                <w:szCs w:val="18"/>
              </w:rPr>
            </w:pPr>
            <w:r w:rsidRPr="004F64EE">
              <w:rPr>
                <w:rFonts w:cs="Arial"/>
                <w:sz w:val="18"/>
                <w:szCs w:val="18"/>
              </w:rPr>
              <w:t>Arthur M. Dresner</w:t>
            </w:r>
          </w:p>
        </w:tc>
        <w:tc>
          <w:tcPr>
            <w:tcW w:w="1260" w:type="dxa"/>
          </w:tcPr>
          <w:p w14:paraId="23AB3CDB" w14:textId="77777777" w:rsidR="005216E6" w:rsidRPr="004F64EE" w:rsidRDefault="005216E6" w:rsidP="00AF0B45">
            <w:pPr>
              <w:keepNext/>
              <w:tabs>
                <w:tab w:val="right" w:pos="5940"/>
                <w:tab w:val="right" w:pos="8370"/>
              </w:tabs>
              <w:snapToGrid w:val="0"/>
              <w:spacing w:before="80" w:line="200" w:lineRule="exact"/>
              <w:jc w:val="right"/>
              <w:rPr>
                <w:rFonts w:cs="Arial"/>
                <w:sz w:val="18"/>
                <w:szCs w:val="18"/>
              </w:rPr>
            </w:pPr>
            <w:r w:rsidRPr="004F64EE">
              <w:rPr>
                <w:rFonts w:cs="Arial"/>
                <w:sz w:val="18"/>
                <w:szCs w:val="18"/>
              </w:rPr>
              <w:t>12,175</w:t>
            </w:r>
          </w:p>
        </w:tc>
        <w:tc>
          <w:tcPr>
            <w:tcW w:w="900" w:type="dxa"/>
          </w:tcPr>
          <w:p w14:paraId="23AB3CDC" w14:textId="77777777" w:rsidR="005216E6" w:rsidRPr="004F64EE" w:rsidRDefault="005216E6" w:rsidP="00AF0B45">
            <w:pPr>
              <w:keepNext/>
              <w:tabs>
                <w:tab w:val="right" w:pos="5940"/>
                <w:tab w:val="right" w:pos="8370"/>
              </w:tabs>
              <w:snapToGrid w:val="0"/>
              <w:spacing w:before="80" w:line="200" w:lineRule="exact"/>
              <w:rPr>
                <w:rFonts w:cs="Arial"/>
                <w:sz w:val="18"/>
                <w:szCs w:val="18"/>
              </w:rPr>
            </w:pPr>
          </w:p>
        </w:tc>
        <w:tc>
          <w:tcPr>
            <w:tcW w:w="630" w:type="dxa"/>
          </w:tcPr>
          <w:p w14:paraId="23AB3CDD" w14:textId="77777777" w:rsidR="005216E6" w:rsidRPr="004F64EE" w:rsidRDefault="005216E6" w:rsidP="00AF0B45">
            <w:pPr>
              <w:keepNext/>
              <w:tabs>
                <w:tab w:val="right" w:pos="5940"/>
                <w:tab w:val="right" w:pos="8370"/>
              </w:tabs>
              <w:snapToGrid w:val="0"/>
              <w:spacing w:before="80" w:line="200" w:lineRule="exact"/>
              <w:rPr>
                <w:rFonts w:cs="Arial"/>
                <w:sz w:val="18"/>
                <w:szCs w:val="18"/>
              </w:rPr>
            </w:pPr>
          </w:p>
        </w:tc>
        <w:tc>
          <w:tcPr>
            <w:tcW w:w="1530" w:type="dxa"/>
          </w:tcPr>
          <w:p w14:paraId="23AB3CDE" w14:textId="77777777" w:rsidR="005216E6" w:rsidRPr="004F64EE" w:rsidRDefault="005216E6" w:rsidP="00AF0B45">
            <w:pPr>
              <w:keepNext/>
              <w:tabs>
                <w:tab w:val="right" w:pos="5940"/>
                <w:tab w:val="right" w:pos="8370"/>
              </w:tabs>
              <w:snapToGrid w:val="0"/>
              <w:spacing w:before="80" w:line="200" w:lineRule="exact"/>
              <w:jc w:val="center"/>
              <w:rPr>
                <w:rFonts w:cs="Arial"/>
                <w:sz w:val="18"/>
                <w:szCs w:val="18"/>
              </w:rPr>
            </w:pPr>
            <w:r w:rsidRPr="004F64EE">
              <w:rPr>
                <w:rFonts w:cs="Arial"/>
                <w:sz w:val="18"/>
                <w:szCs w:val="18"/>
              </w:rPr>
              <w:t>*</w:t>
            </w:r>
          </w:p>
        </w:tc>
      </w:tr>
      <w:tr w:rsidR="005216E6" w:rsidRPr="00A6779E" w14:paraId="23AB3CE5" w14:textId="77777777" w:rsidTr="00AF0B45">
        <w:trPr>
          <w:trHeight w:val="288"/>
        </w:trPr>
        <w:tc>
          <w:tcPr>
            <w:tcW w:w="5385" w:type="dxa"/>
          </w:tcPr>
          <w:p w14:paraId="23AB3CE0" w14:textId="77777777" w:rsidR="005216E6" w:rsidRPr="004F64EE" w:rsidRDefault="005216E6" w:rsidP="00AF0B45">
            <w:pPr>
              <w:keepNext/>
              <w:tabs>
                <w:tab w:val="right" w:pos="5940"/>
                <w:tab w:val="right" w:pos="8370"/>
              </w:tabs>
              <w:snapToGrid w:val="0"/>
              <w:spacing w:before="80" w:line="200" w:lineRule="exact"/>
              <w:rPr>
                <w:rFonts w:cs="Arial"/>
                <w:sz w:val="18"/>
                <w:szCs w:val="18"/>
              </w:rPr>
            </w:pPr>
            <w:r w:rsidRPr="004F64EE">
              <w:rPr>
                <w:rFonts w:cs="Arial"/>
                <w:sz w:val="18"/>
                <w:szCs w:val="18"/>
              </w:rPr>
              <w:t>Robert S. Rubinger</w:t>
            </w:r>
          </w:p>
        </w:tc>
        <w:tc>
          <w:tcPr>
            <w:tcW w:w="1260" w:type="dxa"/>
          </w:tcPr>
          <w:p w14:paraId="23AB3CE1" w14:textId="77777777" w:rsidR="005216E6" w:rsidRPr="004F64EE" w:rsidRDefault="005216E6" w:rsidP="00AF0B45">
            <w:pPr>
              <w:keepNext/>
              <w:tabs>
                <w:tab w:val="right" w:pos="5940"/>
                <w:tab w:val="right" w:pos="8370"/>
              </w:tabs>
              <w:snapToGrid w:val="0"/>
              <w:spacing w:before="80" w:line="200" w:lineRule="exact"/>
              <w:jc w:val="right"/>
              <w:rPr>
                <w:rFonts w:cs="Arial"/>
                <w:sz w:val="18"/>
                <w:szCs w:val="18"/>
              </w:rPr>
            </w:pPr>
            <w:r w:rsidRPr="004F64EE">
              <w:rPr>
                <w:rFonts w:cs="Arial"/>
                <w:sz w:val="18"/>
                <w:szCs w:val="18"/>
              </w:rPr>
              <w:t>5,137</w:t>
            </w:r>
          </w:p>
        </w:tc>
        <w:tc>
          <w:tcPr>
            <w:tcW w:w="900" w:type="dxa"/>
          </w:tcPr>
          <w:p w14:paraId="23AB3CE2" w14:textId="77777777" w:rsidR="005216E6" w:rsidRPr="004F64EE" w:rsidRDefault="005216E6" w:rsidP="00AF0B45">
            <w:pPr>
              <w:keepNext/>
              <w:tabs>
                <w:tab w:val="right" w:pos="5940"/>
                <w:tab w:val="right" w:pos="8370"/>
              </w:tabs>
              <w:snapToGrid w:val="0"/>
              <w:spacing w:before="80" w:line="200" w:lineRule="exact"/>
              <w:rPr>
                <w:rFonts w:cs="Arial"/>
                <w:sz w:val="18"/>
                <w:szCs w:val="18"/>
              </w:rPr>
            </w:pPr>
          </w:p>
        </w:tc>
        <w:tc>
          <w:tcPr>
            <w:tcW w:w="630" w:type="dxa"/>
          </w:tcPr>
          <w:p w14:paraId="23AB3CE3" w14:textId="77777777" w:rsidR="005216E6" w:rsidRPr="004F64EE" w:rsidRDefault="005216E6" w:rsidP="00AF0B45">
            <w:pPr>
              <w:keepNext/>
              <w:tabs>
                <w:tab w:val="right" w:pos="5940"/>
                <w:tab w:val="right" w:pos="8370"/>
              </w:tabs>
              <w:snapToGrid w:val="0"/>
              <w:spacing w:before="80" w:line="200" w:lineRule="exact"/>
              <w:rPr>
                <w:rFonts w:cs="Arial"/>
                <w:sz w:val="18"/>
                <w:szCs w:val="18"/>
              </w:rPr>
            </w:pPr>
          </w:p>
        </w:tc>
        <w:tc>
          <w:tcPr>
            <w:tcW w:w="1530" w:type="dxa"/>
          </w:tcPr>
          <w:p w14:paraId="23AB3CE4" w14:textId="77777777" w:rsidR="005216E6" w:rsidRPr="004F64EE" w:rsidRDefault="005216E6" w:rsidP="00AF0B45">
            <w:pPr>
              <w:keepNext/>
              <w:tabs>
                <w:tab w:val="right" w:pos="5940"/>
                <w:tab w:val="right" w:pos="8370"/>
              </w:tabs>
              <w:snapToGrid w:val="0"/>
              <w:spacing w:before="80" w:line="200" w:lineRule="exact"/>
              <w:jc w:val="center"/>
              <w:rPr>
                <w:rFonts w:cs="Arial"/>
                <w:sz w:val="18"/>
                <w:szCs w:val="18"/>
              </w:rPr>
            </w:pPr>
            <w:r w:rsidRPr="004F64EE">
              <w:rPr>
                <w:rFonts w:cs="Arial"/>
                <w:sz w:val="18"/>
                <w:szCs w:val="18"/>
              </w:rPr>
              <w:t>*</w:t>
            </w:r>
          </w:p>
        </w:tc>
      </w:tr>
      <w:tr w:rsidR="005216E6" w:rsidRPr="00A6779E" w14:paraId="23AB3CEB" w14:textId="77777777">
        <w:trPr>
          <w:trHeight w:val="288"/>
        </w:trPr>
        <w:tc>
          <w:tcPr>
            <w:tcW w:w="5385" w:type="dxa"/>
          </w:tcPr>
          <w:p w14:paraId="23AB3CE6" w14:textId="77777777" w:rsidR="005216E6" w:rsidRPr="004F64EE" w:rsidRDefault="005216E6" w:rsidP="00EB2EFB">
            <w:pPr>
              <w:keepNext/>
              <w:tabs>
                <w:tab w:val="right" w:pos="5940"/>
                <w:tab w:val="right" w:pos="8370"/>
              </w:tabs>
              <w:snapToGrid w:val="0"/>
              <w:spacing w:before="80" w:line="200" w:lineRule="exact"/>
              <w:rPr>
                <w:rFonts w:cs="Arial"/>
                <w:sz w:val="18"/>
                <w:szCs w:val="18"/>
              </w:rPr>
            </w:pPr>
            <w:r w:rsidRPr="004F64EE">
              <w:rPr>
                <w:rFonts w:cs="Arial"/>
                <w:sz w:val="18"/>
                <w:szCs w:val="18"/>
              </w:rPr>
              <w:t>Lawrence F. Maietta</w:t>
            </w:r>
          </w:p>
        </w:tc>
        <w:tc>
          <w:tcPr>
            <w:tcW w:w="1260" w:type="dxa"/>
          </w:tcPr>
          <w:p w14:paraId="23AB3CE7" w14:textId="77777777" w:rsidR="005216E6" w:rsidRPr="004F64EE" w:rsidRDefault="005216E6" w:rsidP="00EB2EFB">
            <w:pPr>
              <w:keepNext/>
              <w:tabs>
                <w:tab w:val="right" w:pos="5940"/>
                <w:tab w:val="right" w:pos="8370"/>
              </w:tabs>
              <w:snapToGrid w:val="0"/>
              <w:spacing w:before="80" w:line="200" w:lineRule="exact"/>
              <w:jc w:val="right"/>
              <w:rPr>
                <w:rFonts w:cs="Arial"/>
                <w:sz w:val="18"/>
                <w:szCs w:val="18"/>
              </w:rPr>
            </w:pPr>
            <w:r w:rsidRPr="004F64EE">
              <w:rPr>
                <w:rFonts w:cs="Arial"/>
                <w:sz w:val="18"/>
                <w:szCs w:val="18"/>
              </w:rPr>
              <w:t>4,000</w:t>
            </w:r>
          </w:p>
        </w:tc>
        <w:tc>
          <w:tcPr>
            <w:tcW w:w="900" w:type="dxa"/>
          </w:tcPr>
          <w:p w14:paraId="23AB3CE8" w14:textId="77777777" w:rsidR="005216E6" w:rsidRPr="004F64EE" w:rsidRDefault="005216E6" w:rsidP="00EB2EFB">
            <w:pPr>
              <w:keepNext/>
              <w:tabs>
                <w:tab w:val="right" w:pos="5940"/>
                <w:tab w:val="right" w:pos="8370"/>
              </w:tabs>
              <w:snapToGrid w:val="0"/>
              <w:spacing w:before="80" w:line="200" w:lineRule="exact"/>
              <w:rPr>
                <w:rFonts w:cs="Arial"/>
                <w:sz w:val="18"/>
                <w:szCs w:val="18"/>
              </w:rPr>
            </w:pPr>
          </w:p>
        </w:tc>
        <w:tc>
          <w:tcPr>
            <w:tcW w:w="630" w:type="dxa"/>
          </w:tcPr>
          <w:p w14:paraId="23AB3CE9" w14:textId="77777777" w:rsidR="005216E6" w:rsidRPr="004F64EE" w:rsidRDefault="005216E6" w:rsidP="00EB2EFB">
            <w:pPr>
              <w:keepNext/>
              <w:tabs>
                <w:tab w:val="right" w:pos="5940"/>
                <w:tab w:val="right" w:pos="8370"/>
              </w:tabs>
              <w:snapToGrid w:val="0"/>
              <w:spacing w:before="80" w:line="200" w:lineRule="exact"/>
              <w:rPr>
                <w:rFonts w:cs="Arial"/>
                <w:sz w:val="18"/>
                <w:szCs w:val="18"/>
              </w:rPr>
            </w:pPr>
          </w:p>
        </w:tc>
        <w:tc>
          <w:tcPr>
            <w:tcW w:w="1530" w:type="dxa"/>
          </w:tcPr>
          <w:p w14:paraId="23AB3CEA" w14:textId="77777777" w:rsidR="005216E6" w:rsidRPr="004F64EE" w:rsidRDefault="005216E6" w:rsidP="00EB2EFB">
            <w:pPr>
              <w:keepNext/>
              <w:tabs>
                <w:tab w:val="right" w:pos="5940"/>
                <w:tab w:val="right" w:pos="8370"/>
              </w:tabs>
              <w:snapToGrid w:val="0"/>
              <w:spacing w:before="80" w:line="200" w:lineRule="exact"/>
              <w:jc w:val="center"/>
              <w:rPr>
                <w:rFonts w:cs="Arial"/>
                <w:sz w:val="18"/>
                <w:szCs w:val="18"/>
              </w:rPr>
            </w:pPr>
            <w:r w:rsidRPr="004F64EE">
              <w:rPr>
                <w:rFonts w:cs="Arial"/>
                <w:sz w:val="18"/>
                <w:szCs w:val="18"/>
              </w:rPr>
              <w:t>*</w:t>
            </w:r>
          </w:p>
        </w:tc>
      </w:tr>
      <w:tr w:rsidR="005216E6" w:rsidRPr="00A6779E" w14:paraId="23AB3CF1" w14:textId="77777777">
        <w:trPr>
          <w:trHeight w:val="288"/>
        </w:trPr>
        <w:tc>
          <w:tcPr>
            <w:tcW w:w="5385" w:type="dxa"/>
          </w:tcPr>
          <w:p w14:paraId="23AB3CEC" w14:textId="77777777" w:rsidR="005216E6" w:rsidRPr="004F64EE" w:rsidRDefault="005216E6" w:rsidP="00EB2EFB">
            <w:pPr>
              <w:keepNext/>
              <w:tabs>
                <w:tab w:val="right" w:pos="5940"/>
                <w:tab w:val="right" w:pos="8370"/>
              </w:tabs>
              <w:snapToGrid w:val="0"/>
              <w:spacing w:before="80" w:line="200" w:lineRule="exact"/>
              <w:rPr>
                <w:rFonts w:cs="Arial"/>
                <w:sz w:val="18"/>
                <w:szCs w:val="18"/>
              </w:rPr>
            </w:pPr>
            <w:r w:rsidRPr="004F64EE">
              <w:rPr>
                <w:rFonts w:cs="Arial"/>
                <w:sz w:val="18"/>
                <w:szCs w:val="18"/>
              </w:rPr>
              <w:t>Andrew A. Boccone</w:t>
            </w:r>
          </w:p>
        </w:tc>
        <w:tc>
          <w:tcPr>
            <w:tcW w:w="1260" w:type="dxa"/>
          </w:tcPr>
          <w:p w14:paraId="23AB3CED" w14:textId="77777777" w:rsidR="005216E6" w:rsidRPr="004F64EE" w:rsidRDefault="005216E6" w:rsidP="00EB2EFB">
            <w:pPr>
              <w:keepNext/>
              <w:tabs>
                <w:tab w:val="right" w:pos="5940"/>
                <w:tab w:val="right" w:pos="8370"/>
              </w:tabs>
              <w:snapToGrid w:val="0"/>
              <w:spacing w:before="80" w:line="200" w:lineRule="exact"/>
              <w:jc w:val="right"/>
              <w:rPr>
                <w:rFonts w:cs="Arial"/>
                <w:sz w:val="18"/>
                <w:szCs w:val="18"/>
              </w:rPr>
            </w:pPr>
            <w:r w:rsidRPr="004F64EE">
              <w:rPr>
                <w:rFonts w:cs="Arial"/>
                <w:sz w:val="18"/>
                <w:szCs w:val="18"/>
              </w:rPr>
              <w:t>0</w:t>
            </w:r>
          </w:p>
        </w:tc>
        <w:tc>
          <w:tcPr>
            <w:tcW w:w="900" w:type="dxa"/>
          </w:tcPr>
          <w:p w14:paraId="23AB3CEE" w14:textId="77777777" w:rsidR="005216E6" w:rsidRPr="004F64EE" w:rsidRDefault="005216E6" w:rsidP="00EB2EFB">
            <w:pPr>
              <w:keepNext/>
              <w:tabs>
                <w:tab w:val="right" w:pos="5940"/>
                <w:tab w:val="right" w:pos="8370"/>
              </w:tabs>
              <w:snapToGrid w:val="0"/>
              <w:spacing w:before="80" w:line="200" w:lineRule="exact"/>
              <w:rPr>
                <w:rFonts w:cs="Arial"/>
                <w:sz w:val="18"/>
                <w:szCs w:val="18"/>
              </w:rPr>
            </w:pPr>
          </w:p>
        </w:tc>
        <w:tc>
          <w:tcPr>
            <w:tcW w:w="630" w:type="dxa"/>
          </w:tcPr>
          <w:p w14:paraId="23AB3CEF" w14:textId="77777777" w:rsidR="005216E6" w:rsidRPr="004F64EE" w:rsidRDefault="005216E6" w:rsidP="00EB2EFB">
            <w:pPr>
              <w:keepNext/>
              <w:tabs>
                <w:tab w:val="right" w:pos="5940"/>
                <w:tab w:val="right" w:pos="8370"/>
              </w:tabs>
              <w:snapToGrid w:val="0"/>
              <w:spacing w:before="80" w:line="200" w:lineRule="exact"/>
              <w:rPr>
                <w:rFonts w:cs="Arial"/>
                <w:sz w:val="18"/>
                <w:szCs w:val="18"/>
              </w:rPr>
            </w:pPr>
          </w:p>
        </w:tc>
        <w:tc>
          <w:tcPr>
            <w:tcW w:w="1530" w:type="dxa"/>
          </w:tcPr>
          <w:p w14:paraId="23AB3CF0" w14:textId="77777777" w:rsidR="005216E6" w:rsidRPr="004F64EE" w:rsidRDefault="005216E6" w:rsidP="00EB2EFB">
            <w:pPr>
              <w:keepNext/>
              <w:tabs>
                <w:tab w:val="right" w:pos="5940"/>
                <w:tab w:val="right" w:pos="8370"/>
              </w:tabs>
              <w:snapToGrid w:val="0"/>
              <w:spacing w:before="80" w:line="200" w:lineRule="exact"/>
              <w:jc w:val="center"/>
              <w:rPr>
                <w:rFonts w:cs="Arial"/>
                <w:sz w:val="18"/>
                <w:szCs w:val="18"/>
              </w:rPr>
            </w:pPr>
            <w:r w:rsidRPr="004F64EE">
              <w:rPr>
                <w:rFonts w:cs="Arial"/>
                <w:sz w:val="18"/>
                <w:szCs w:val="18"/>
              </w:rPr>
              <w:t>*</w:t>
            </w:r>
          </w:p>
        </w:tc>
      </w:tr>
      <w:tr w:rsidR="005216E6" w:rsidRPr="00A6779E" w14:paraId="23AB3CF7" w14:textId="77777777">
        <w:trPr>
          <w:trHeight w:val="288"/>
        </w:trPr>
        <w:tc>
          <w:tcPr>
            <w:tcW w:w="5385" w:type="dxa"/>
          </w:tcPr>
          <w:p w14:paraId="23AB3CF2" w14:textId="77777777" w:rsidR="005216E6" w:rsidRPr="004F64EE" w:rsidRDefault="005216E6" w:rsidP="00EB2EFB">
            <w:pPr>
              <w:keepNext/>
              <w:tabs>
                <w:tab w:val="right" w:pos="5940"/>
                <w:tab w:val="right" w:pos="8370"/>
              </w:tabs>
              <w:snapToGrid w:val="0"/>
              <w:spacing w:before="80" w:line="200" w:lineRule="exact"/>
              <w:rPr>
                <w:rFonts w:cs="Arial"/>
                <w:sz w:val="18"/>
                <w:szCs w:val="18"/>
              </w:rPr>
            </w:pPr>
            <w:r w:rsidRPr="004F64EE">
              <w:rPr>
                <w:rFonts w:cs="Arial"/>
                <w:sz w:val="18"/>
                <w:szCs w:val="18"/>
              </w:rPr>
              <w:t>Christopher W. Nolan, Sr.</w:t>
            </w:r>
          </w:p>
        </w:tc>
        <w:tc>
          <w:tcPr>
            <w:tcW w:w="1260" w:type="dxa"/>
          </w:tcPr>
          <w:p w14:paraId="23AB3CF3" w14:textId="77777777" w:rsidR="005216E6" w:rsidRPr="004F64EE" w:rsidRDefault="005216E6" w:rsidP="00EB2EFB">
            <w:pPr>
              <w:keepNext/>
              <w:tabs>
                <w:tab w:val="right" w:pos="5940"/>
                <w:tab w:val="right" w:pos="8370"/>
              </w:tabs>
              <w:snapToGrid w:val="0"/>
              <w:spacing w:before="80" w:line="200" w:lineRule="exact"/>
              <w:jc w:val="right"/>
              <w:rPr>
                <w:rFonts w:cs="Arial"/>
                <w:sz w:val="18"/>
                <w:szCs w:val="18"/>
              </w:rPr>
            </w:pPr>
            <w:r w:rsidRPr="004F64EE">
              <w:rPr>
                <w:rFonts w:cs="Arial"/>
                <w:sz w:val="18"/>
                <w:szCs w:val="18"/>
              </w:rPr>
              <w:t>0</w:t>
            </w:r>
          </w:p>
        </w:tc>
        <w:tc>
          <w:tcPr>
            <w:tcW w:w="900" w:type="dxa"/>
          </w:tcPr>
          <w:p w14:paraId="23AB3CF4" w14:textId="77777777" w:rsidR="005216E6" w:rsidRPr="004F64EE" w:rsidRDefault="005216E6" w:rsidP="00EB2EFB">
            <w:pPr>
              <w:keepNext/>
              <w:tabs>
                <w:tab w:val="right" w:pos="5940"/>
                <w:tab w:val="right" w:pos="8370"/>
              </w:tabs>
              <w:snapToGrid w:val="0"/>
              <w:spacing w:before="80" w:line="200" w:lineRule="exact"/>
              <w:rPr>
                <w:rFonts w:cs="Arial"/>
                <w:sz w:val="18"/>
                <w:szCs w:val="18"/>
              </w:rPr>
            </w:pPr>
          </w:p>
        </w:tc>
        <w:tc>
          <w:tcPr>
            <w:tcW w:w="630" w:type="dxa"/>
          </w:tcPr>
          <w:p w14:paraId="23AB3CF5" w14:textId="77777777" w:rsidR="005216E6" w:rsidRPr="004F64EE" w:rsidRDefault="005216E6" w:rsidP="00EB2EFB">
            <w:pPr>
              <w:keepNext/>
              <w:tabs>
                <w:tab w:val="right" w:pos="5940"/>
                <w:tab w:val="right" w:pos="8370"/>
              </w:tabs>
              <w:snapToGrid w:val="0"/>
              <w:spacing w:before="80" w:line="200" w:lineRule="exact"/>
              <w:rPr>
                <w:rFonts w:cs="Arial"/>
                <w:sz w:val="18"/>
                <w:szCs w:val="18"/>
              </w:rPr>
            </w:pPr>
          </w:p>
        </w:tc>
        <w:tc>
          <w:tcPr>
            <w:tcW w:w="1530" w:type="dxa"/>
          </w:tcPr>
          <w:p w14:paraId="23AB3CF6" w14:textId="77777777" w:rsidR="005216E6" w:rsidRPr="004F64EE" w:rsidRDefault="005216E6" w:rsidP="00EB2EFB">
            <w:pPr>
              <w:keepNext/>
              <w:tabs>
                <w:tab w:val="right" w:pos="5940"/>
                <w:tab w:val="right" w:pos="8370"/>
              </w:tabs>
              <w:snapToGrid w:val="0"/>
              <w:spacing w:before="80" w:line="200" w:lineRule="exact"/>
              <w:jc w:val="center"/>
              <w:rPr>
                <w:rFonts w:cs="Arial"/>
                <w:sz w:val="18"/>
                <w:szCs w:val="18"/>
              </w:rPr>
            </w:pPr>
            <w:r w:rsidRPr="004F64EE">
              <w:rPr>
                <w:rFonts w:cs="Arial"/>
                <w:sz w:val="18"/>
                <w:szCs w:val="18"/>
              </w:rPr>
              <w:t>*</w:t>
            </w:r>
          </w:p>
        </w:tc>
      </w:tr>
      <w:tr w:rsidR="005216E6" w:rsidRPr="00A6779E" w14:paraId="23AB3CFD" w14:textId="77777777">
        <w:trPr>
          <w:trHeight w:val="288"/>
        </w:trPr>
        <w:tc>
          <w:tcPr>
            <w:tcW w:w="5385" w:type="dxa"/>
          </w:tcPr>
          <w:p w14:paraId="23AB3CF8" w14:textId="77777777" w:rsidR="005216E6" w:rsidRPr="004F64EE" w:rsidRDefault="005216E6" w:rsidP="00EB2EFB">
            <w:pPr>
              <w:keepNext/>
              <w:tabs>
                <w:tab w:val="right" w:pos="5940"/>
                <w:tab w:val="right" w:pos="8370"/>
              </w:tabs>
              <w:snapToGrid w:val="0"/>
              <w:spacing w:before="80" w:line="200" w:lineRule="exact"/>
              <w:rPr>
                <w:rFonts w:cs="Arial"/>
                <w:sz w:val="18"/>
                <w:szCs w:val="18"/>
              </w:rPr>
            </w:pPr>
            <w:r w:rsidRPr="004F64EE">
              <w:rPr>
                <w:rFonts w:cs="Arial"/>
                <w:sz w:val="18"/>
                <w:szCs w:val="18"/>
              </w:rPr>
              <w:t>All Officers and Directors as a group (8 persons)</w:t>
            </w:r>
          </w:p>
        </w:tc>
        <w:tc>
          <w:tcPr>
            <w:tcW w:w="1260" w:type="dxa"/>
          </w:tcPr>
          <w:p w14:paraId="23AB3CF9" w14:textId="77777777" w:rsidR="005216E6" w:rsidRPr="004F64EE" w:rsidRDefault="005216E6" w:rsidP="00EB2EFB">
            <w:pPr>
              <w:keepNext/>
              <w:tabs>
                <w:tab w:val="right" w:pos="5940"/>
                <w:tab w:val="right" w:pos="8370"/>
              </w:tabs>
              <w:snapToGrid w:val="0"/>
              <w:spacing w:before="80" w:line="200" w:lineRule="exact"/>
              <w:jc w:val="right"/>
              <w:rPr>
                <w:rFonts w:cs="Arial"/>
                <w:sz w:val="18"/>
                <w:szCs w:val="18"/>
              </w:rPr>
            </w:pPr>
            <w:r w:rsidRPr="004F64EE">
              <w:rPr>
                <w:rFonts w:cs="Arial"/>
                <w:sz w:val="18"/>
                <w:szCs w:val="18"/>
              </w:rPr>
              <w:t>1,429,451</w:t>
            </w:r>
          </w:p>
        </w:tc>
        <w:tc>
          <w:tcPr>
            <w:tcW w:w="900" w:type="dxa"/>
          </w:tcPr>
          <w:p w14:paraId="23AB3CFA" w14:textId="77777777" w:rsidR="005216E6" w:rsidRPr="004F64EE" w:rsidRDefault="005216E6" w:rsidP="00EB2EFB">
            <w:pPr>
              <w:keepNext/>
              <w:tabs>
                <w:tab w:val="right" w:pos="5940"/>
                <w:tab w:val="right" w:pos="8370"/>
              </w:tabs>
              <w:snapToGrid w:val="0"/>
              <w:spacing w:before="80" w:line="200" w:lineRule="exact"/>
              <w:rPr>
                <w:rFonts w:cs="Arial"/>
                <w:sz w:val="18"/>
                <w:szCs w:val="18"/>
              </w:rPr>
            </w:pPr>
            <w:r w:rsidRPr="004F64EE">
              <w:rPr>
                <w:rFonts w:cs="Arial"/>
                <w:sz w:val="18"/>
                <w:szCs w:val="18"/>
              </w:rPr>
              <w:t>(1)</w:t>
            </w:r>
          </w:p>
        </w:tc>
        <w:tc>
          <w:tcPr>
            <w:tcW w:w="630" w:type="dxa"/>
          </w:tcPr>
          <w:p w14:paraId="23AB3CFB" w14:textId="77777777" w:rsidR="005216E6" w:rsidRPr="004F64EE" w:rsidRDefault="005216E6" w:rsidP="00EB2EFB">
            <w:pPr>
              <w:keepNext/>
              <w:tabs>
                <w:tab w:val="right" w:pos="5940"/>
                <w:tab w:val="right" w:pos="8370"/>
              </w:tabs>
              <w:snapToGrid w:val="0"/>
              <w:spacing w:before="80" w:line="200" w:lineRule="exact"/>
              <w:rPr>
                <w:rFonts w:cs="Arial"/>
                <w:sz w:val="18"/>
                <w:szCs w:val="18"/>
              </w:rPr>
            </w:pPr>
          </w:p>
        </w:tc>
        <w:tc>
          <w:tcPr>
            <w:tcW w:w="1530" w:type="dxa"/>
          </w:tcPr>
          <w:p w14:paraId="23AB3CFC" w14:textId="77777777" w:rsidR="005216E6" w:rsidRPr="004F64EE" w:rsidRDefault="005216E6" w:rsidP="00EB2EFB">
            <w:pPr>
              <w:keepNext/>
              <w:tabs>
                <w:tab w:val="right" w:pos="5940"/>
                <w:tab w:val="right" w:pos="8370"/>
              </w:tabs>
              <w:snapToGrid w:val="0"/>
              <w:spacing w:before="80" w:line="200" w:lineRule="exact"/>
              <w:jc w:val="center"/>
              <w:rPr>
                <w:rFonts w:cs="Arial"/>
                <w:sz w:val="18"/>
                <w:szCs w:val="18"/>
              </w:rPr>
            </w:pPr>
            <w:r w:rsidRPr="004F64EE">
              <w:rPr>
                <w:rFonts w:cs="Arial"/>
                <w:sz w:val="18"/>
                <w:szCs w:val="18"/>
              </w:rPr>
              <w:t xml:space="preserve"> 31.1%</w:t>
            </w:r>
          </w:p>
        </w:tc>
      </w:tr>
    </w:tbl>
    <w:p w14:paraId="23AB3CFE" w14:textId="77777777" w:rsidR="005216E6" w:rsidRDefault="005216E6" w:rsidP="00EB2EFB">
      <w:pPr>
        <w:tabs>
          <w:tab w:val="left" w:pos="540"/>
        </w:tabs>
        <w:jc w:val="both"/>
        <w:rPr>
          <w:rFonts w:cs="Arial"/>
          <w:sz w:val="22"/>
          <w:szCs w:val="22"/>
        </w:rPr>
      </w:pPr>
    </w:p>
    <w:p w14:paraId="23AB3CFF" w14:textId="77777777" w:rsidR="005216E6" w:rsidRPr="004F64EE" w:rsidRDefault="005216E6" w:rsidP="006603F0">
      <w:pPr>
        <w:spacing w:after="80"/>
        <w:ind w:left="450" w:hanging="360"/>
        <w:jc w:val="both"/>
        <w:rPr>
          <w:rFonts w:cs="Arial"/>
          <w:sz w:val="18"/>
          <w:szCs w:val="18"/>
        </w:rPr>
      </w:pPr>
      <w:r w:rsidRPr="004F64EE">
        <w:rPr>
          <w:rFonts w:cs="Arial"/>
          <w:sz w:val="18"/>
          <w:szCs w:val="18"/>
        </w:rPr>
        <w:t xml:space="preserve">*     Less than one percent (1%) </w:t>
      </w:r>
    </w:p>
    <w:p w14:paraId="23AB3D00" w14:textId="77777777" w:rsidR="005216E6" w:rsidRDefault="005216E6" w:rsidP="004F64EE">
      <w:pPr>
        <w:tabs>
          <w:tab w:val="left" w:pos="450"/>
        </w:tabs>
        <w:spacing w:after="80"/>
        <w:ind w:left="450" w:hanging="450"/>
        <w:jc w:val="both"/>
        <w:rPr>
          <w:rFonts w:cs="Arial"/>
          <w:sz w:val="18"/>
          <w:szCs w:val="18"/>
        </w:rPr>
      </w:pPr>
      <w:r w:rsidRPr="004F64EE">
        <w:rPr>
          <w:rFonts w:cs="Arial"/>
          <w:sz w:val="18"/>
          <w:szCs w:val="18"/>
        </w:rPr>
        <w:t xml:space="preserve">(1) </w:t>
      </w:r>
      <w:r w:rsidRPr="004F64EE">
        <w:rPr>
          <w:rFonts w:cs="Arial"/>
          <w:sz w:val="18"/>
          <w:szCs w:val="18"/>
        </w:rPr>
        <w:tab/>
        <w:t xml:space="preserve">Includes 320,647 shares held directly in his own name, and another 1,080,646 shares held beneficially as follows: 760,000 shares as joint Trustee of the Alfred Globus Testamentary Trust, as to which he has sole voting rights and shared investment power, and 320,646 shares held by his wife. </w:t>
      </w:r>
    </w:p>
    <w:p w14:paraId="23AB3D01" w14:textId="77777777" w:rsidR="004F64EE" w:rsidRDefault="004F64EE" w:rsidP="004F64EE">
      <w:pPr>
        <w:tabs>
          <w:tab w:val="left" w:pos="450"/>
        </w:tabs>
        <w:spacing w:after="80"/>
        <w:ind w:left="450" w:hanging="450"/>
        <w:jc w:val="both"/>
        <w:rPr>
          <w:rFonts w:cs="Arial"/>
          <w:sz w:val="18"/>
          <w:szCs w:val="18"/>
        </w:rPr>
      </w:pPr>
    </w:p>
    <w:p w14:paraId="23AB3D02" w14:textId="77777777" w:rsidR="004F64EE" w:rsidRPr="004F64EE" w:rsidRDefault="004F64EE" w:rsidP="004F64EE">
      <w:pPr>
        <w:tabs>
          <w:tab w:val="left" w:pos="450"/>
        </w:tabs>
        <w:spacing w:after="80"/>
        <w:ind w:left="450" w:hanging="450"/>
        <w:jc w:val="both"/>
        <w:rPr>
          <w:rFonts w:cs="Arial"/>
          <w:sz w:val="18"/>
          <w:szCs w:val="18"/>
          <w:lang w:eastAsia="en-US"/>
        </w:rPr>
      </w:pPr>
    </w:p>
    <w:p w14:paraId="23AB3D03" w14:textId="77777777" w:rsidR="001745D2" w:rsidRDefault="001745D2" w:rsidP="00EB2EFB">
      <w:pPr>
        <w:jc w:val="both"/>
        <w:rPr>
          <w:rFonts w:cs="Arial"/>
          <w:b/>
          <w:szCs w:val="24"/>
        </w:rPr>
      </w:pPr>
    </w:p>
    <w:p w14:paraId="23AB3D04" w14:textId="77777777" w:rsidR="005216E6" w:rsidRDefault="005216E6" w:rsidP="00EB2EFB">
      <w:pPr>
        <w:jc w:val="both"/>
        <w:rPr>
          <w:rFonts w:cs="Arial"/>
          <w:b/>
          <w:szCs w:val="24"/>
        </w:rPr>
      </w:pPr>
      <w:r>
        <w:rPr>
          <w:rFonts w:cs="Arial"/>
          <w:b/>
          <w:szCs w:val="24"/>
        </w:rPr>
        <w:lastRenderedPageBreak/>
        <w:t>DIRECTORS AND EXECUTIVE OFFICERS</w:t>
      </w:r>
    </w:p>
    <w:p w14:paraId="23AB3D05" w14:textId="77777777" w:rsidR="005216E6" w:rsidRDefault="005216E6" w:rsidP="00EB2EFB">
      <w:pPr>
        <w:spacing w:line="200" w:lineRule="exact"/>
        <w:jc w:val="both"/>
        <w:rPr>
          <w:rFonts w:cs="Arial"/>
          <w:sz w:val="22"/>
          <w:szCs w:val="22"/>
        </w:rPr>
      </w:pPr>
    </w:p>
    <w:p w14:paraId="23AB3D06" w14:textId="77777777" w:rsidR="005216E6" w:rsidRDefault="005216E6" w:rsidP="00EB2EFB">
      <w:pPr>
        <w:jc w:val="both"/>
        <w:rPr>
          <w:rFonts w:cs="Arial"/>
          <w:b/>
          <w:sz w:val="22"/>
          <w:szCs w:val="22"/>
        </w:rPr>
      </w:pPr>
      <w:r>
        <w:rPr>
          <w:rFonts w:cs="Arial"/>
          <w:b/>
          <w:sz w:val="22"/>
          <w:szCs w:val="22"/>
        </w:rPr>
        <w:t>Nominees for Election as Directors</w:t>
      </w:r>
    </w:p>
    <w:p w14:paraId="23AB3D07" w14:textId="77777777" w:rsidR="005216E6" w:rsidRDefault="005216E6" w:rsidP="00EB2EFB">
      <w:pPr>
        <w:jc w:val="both"/>
        <w:rPr>
          <w:rFonts w:cs="Arial"/>
          <w:b/>
          <w:sz w:val="22"/>
          <w:szCs w:val="22"/>
        </w:rPr>
      </w:pPr>
    </w:p>
    <w:p w14:paraId="23AB3D08" w14:textId="77777777" w:rsidR="005216E6" w:rsidRPr="004F64EE" w:rsidRDefault="005216E6" w:rsidP="004F64EE">
      <w:pPr>
        <w:ind w:firstLine="720"/>
        <w:jc w:val="both"/>
        <w:rPr>
          <w:rFonts w:cs="Arial"/>
          <w:sz w:val="21"/>
          <w:szCs w:val="21"/>
        </w:rPr>
      </w:pPr>
      <w:r w:rsidRPr="004F64EE">
        <w:rPr>
          <w:rFonts w:cs="Arial"/>
          <w:sz w:val="21"/>
          <w:szCs w:val="21"/>
        </w:rPr>
        <w:t xml:space="preserve">Six directors are to be elected at the Annual Meeting to serve until the next annual meeting of stockholders and until their successors have been elected and qualified. Set forth in the table below are the names of all persons nominated for election as directors (all of whom are currently directors) by a majority of the Company’s independent directors, the principal occupation or employment of each nominee for at least the past five years, his present positions with the Company, his qualifications to serve as a director, other board memberships of public companies, and the year he was first elected a director. </w:t>
      </w:r>
    </w:p>
    <w:p w14:paraId="23AB3D09" w14:textId="77777777" w:rsidR="005216E6" w:rsidRPr="004F64EE" w:rsidRDefault="00A6779E" w:rsidP="00EB2EFB">
      <w:pPr>
        <w:ind w:left="9360"/>
        <w:jc w:val="both"/>
        <w:rPr>
          <w:rFonts w:cs="Arial"/>
          <w:sz w:val="18"/>
          <w:szCs w:val="18"/>
        </w:rPr>
      </w:pPr>
      <w:r>
        <w:rPr>
          <w:rFonts w:cs="Arial"/>
          <w:sz w:val="18"/>
          <w:szCs w:val="18"/>
        </w:rPr>
        <w:t xml:space="preserve">    </w:t>
      </w:r>
      <w:r w:rsidR="005216E6" w:rsidRPr="004F64EE">
        <w:rPr>
          <w:rFonts w:cs="Arial"/>
          <w:sz w:val="18"/>
          <w:szCs w:val="18"/>
        </w:rPr>
        <w:t xml:space="preserve">   Year First</w:t>
      </w:r>
    </w:p>
    <w:p w14:paraId="23AB3D0A" w14:textId="77777777" w:rsidR="005216E6" w:rsidRPr="004F64EE" w:rsidRDefault="005216E6" w:rsidP="00767CC5">
      <w:pPr>
        <w:keepNext/>
        <w:spacing w:line="240" w:lineRule="exact"/>
        <w:ind w:firstLine="450"/>
        <w:rPr>
          <w:rFonts w:ascii="Tahoma" w:hAnsi="Tahoma" w:cs="Tahoma"/>
          <w:sz w:val="18"/>
          <w:szCs w:val="18"/>
        </w:rPr>
      </w:pPr>
      <w:r w:rsidRPr="004F64EE">
        <w:rPr>
          <w:rFonts w:ascii="Tahoma" w:hAnsi="Tahoma" w:cs="Tahoma"/>
          <w:sz w:val="18"/>
          <w:szCs w:val="18"/>
        </w:rPr>
        <w:t xml:space="preserve">Name and Position       </w:t>
      </w:r>
      <w:r w:rsidRPr="004F64EE">
        <w:rPr>
          <w:rFonts w:ascii="Tahoma" w:hAnsi="Tahoma" w:cs="Tahoma"/>
          <w:sz w:val="18"/>
          <w:szCs w:val="18"/>
        </w:rPr>
        <w:tab/>
      </w:r>
      <w:r w:rsidRPr="004F64EE">
        <w:rPr>
          <w:rFonts w:ascii="Tahoma" w:hAnsi="Tahoma" w:cs="Tahoma"/>
          <w:sz w:val="18"/>
          <w:szCs w:val="18"/>
        </w:rPr>
        <w:tab/>
      </w:r>
      <w:r w:rsidR="00A6779E" w:rsidRPr="004F64EE">
        <w:rPr>
          <w:rFonts w:ascii="Tahoma" w:hAnsi="Tahoma" w:cs="Tahoma"/>
          <w:sz w:val="18"/>
          <w:szCs w:val="18"/>
        </w:rPr>
        <w:t xml:space="preserve">                                                                                              </w:t>
      </w:r>
      <w:r w:rsidR="00A6779E">
        <w:rPr>
          <w:rFonts w:ascii="Tahoma" w:hAnsi="Tahoma" w:cs="Tahoma"/>
          <w:sz w:val="18"/>
          <w:szCs w:val="18"/>
        </w:rPr>
        <w:t xml:space="preserve">            </w:t>
      </w:r>
      <w:r w:rsidR="00A6779E" w:rsidRPr="004F64EE">
        <w:rPr>
          <w:rFonts w:ascii="Tahoma" w:hAnsi="Tahoma" w:cs="Tahoma"/>
          <w:sz w:val="18"/>
          <w:szCs w:val="18"/>
        </w:rPr>
        <w:t xml:space="preserve">   </w:t>
      </w:r>
      <w:r w:rsidRPr="004F64EE">
        <w:rPr>
          <w:rFonts w:ascii="Tahoma" w:hAnsi="Tahoma" w:cs="Tahoma"/>
          <w:sz w:val="18"/>
          <w:szCs w:val="18"/>
        </w:rPr>
        <w:t xml:space="preserve">Elected a </w:t>
      </w:r>
    </w:p>
    <w:p w14:paraId="23AB3D0B" w14:textId="77777777" w:rsidR="005216E6" w:rsidRPr="004F64EE" w:rsidRDefault="005216E6" w:rsidP="00767CC5">
      <w:pPr>
        <w:keepNext/>
        <w:spacing w:line="240" w:lineRule="exact"/>
        <w:ind w:firstLine="450"/>
        <w:rPr>
          <w:rFonts w:ascii="Tahoma" w:hAnsi="Tahoma" w:cs="Tahoma"/>
          <w:sz w:val="18"/>
          <w:szCs w:val="18"/>
          <w:u w:val="single"/>
        </w:rPr>
      </w:pPr>
      <w:r w:rsidRPr="004F64EE">
        <w:rPr>
          <w:rFonts w:ascii="Tahoma" w:hAnsi="Tahoma" w:cs="Tahoma"/>
          <w:sz w:val="18"/>
          <w:szCs w:val="18"/>
          <w:u w:val="single"/>
        </w:rPr>
        <w:t>with the Company</w:t>
      </w:r>
      <w:r w:rsidRPr="004F64EE">
        <w:rPr>
          <w:rFonts w:ascii="Tahoma" w:hAnsi="Tahoma" w:cs="Tahoma"/>
          <w:sz w:val="18"/>
          <w:szCs w:val="18"/>
        </w:rPr>
        <w:t xml:space="preserve">      </w:t>
      </w:r>
      <w:r w:rsidR="00A6779E">
        <w:rPr>
          <w:rFonts w:ascii="Tahoma" w:hAnsi="Tahoma" w:cs="Tahoma"/>
          <w:sz w:val="18"/>
          <w:szCs w:val="18"/>
        </w:rPr>
        <w:t xml:space="preserve">        </w:t>
      </w:r>
      <w:r w:rsidRPr="004F64EE">
        <w:rPr>
          <w:rFonts w:ascii="Tahoma" w:hAnsi="Tahoma" w:cs="Tahoma"/>
          <w:sz w:val="18"/>
          <w:szCs w:val="18"/>
        </w:rPr>
        <w:t xml:space="preserve">      </w:t>
      </w:r>
      <w:r w:rsidRPr="004F64EE">
        <w:rPr>
          <w:rFonts w:ascii="Tahoma" w:hAnsi="Tahoma" w:cs="Tahoma"/>
          <w:sz w:val="18"/>
          <w:szCs w:val="18"/>
          <w:u w:val="single"/>
        </w:rPr>
        <w:t>Age</w:t>
      </w:r>
      <w:r w:rsidRPr="004F64EE">
        <w:rPr>
          <w:rFonts w:ascii="Tahoma" w:hAnsi="Tahoma" w:cs="Tahoma"/>
          <w:sz w:val="18"/>
          <w:szCs w:val="18"/>
        </w:rPr>
        <w:t xml:space="preserve">    </w:t>
      </w:r>
      <w:r w:rsidR="00A6779E">
        <w:rPr>
          <w:rFonts w:ascii="Tahoma" w:hAnsi="Tahoma" w:cs="Tahoma"/>
          <w:sz w:val="18"/>
          <w:szCs w:val="18"/>
        </w:rPr>
        <w:t xml:space="preserve">          </w:t>
      </w:r>
      <w:r w:rsidRPr="004F64EE">
        <w:rPr>
          <w:rFonts w:ascii="Tahoma" w:hAnsi="Tahoma" w:cs="Tahoma"/>
          <w:sz w:val="18"/>
          <w:szCs w:val="18"/>
        </w:rPr>
        <w:t xml:space="preserve">  </w:t>
      </w:r>
      <w:r w:rsidRPr="004F64EE">
        <w:rPr>
          <w:rFonts w:ascii="Tahoma" w:hAnsi="Tahoma" w:cs="Tahoma"/>
          <w:sz w:val="18"/>
          <w:szCs w:val="18"/>
          <w:u w:val="single"/>
        </w:rPr>
        <w:t>Principal Occupation, Qualifications, and other Boards</w:t>
      </w:r>
      <w:r w:rsidRPr="004F64EE">
        <w:rPr>
          <w:rFonts w:ascii="Tahoma" w:hAnsi="Tahoma" w:cs="Tahoma"/>
          <w:sz w:val="18"/>
          <w:szCs w:val="18"/>
        </w:rPr>
        <w:t xml:space="preserve">      </w:t>
      </w:r>
      <w:r w:rsidR="00A6779E">
        <w:rPr>
          <w:rFonts w:ascii="Tahoma" w:hAnsi="Tahoma" w:cs="Tahoma"/>
          <w:sz w:val="18"/>
          <w:szCs w:val="18"/>
        </w:rPr>
        <w:t xml:space="preserve">            </w:t>
      </w:r>
      <w:r w:rsidRPr="004F64EE">
        <w:rPr>
          <w:rFonts w:ascii="Tahoma" w:hAnsi="Tahoma" w:cs="Tahoma"/>
          <w:sz w:val="18"/>
          <w:szCs w:val="18"/>
        </w:rPr>
        <w:t xml:space="preserve">      </w:t>
      </w:r>
      <w:r w:rsidRPr="004F64EE">
        <w:rPr>
          <w:rFonts w:ascii="Tahoma" w:hAnsi="Tahoma" w:cs="Tahoma"/>
          <w:sz w:val="18"/>
          <w:szCs w:val="18"/>
          <w:u w:val="single"/>
        </w:rPr>
        <w:t>Director</w:t>
      </w:r>
      <w:r w:rsidRPr="004F64EE">
        <w:rPr>
          <w:rFonts w:ascii="Tahoma" w:hAnsi="Tahoma" w:cs="Tahoma"/>
          <w:sz w:val="18"/>
          <w:szCs w:val="18"/>
        </w:rPr>
        <w:t xml:space="preserve"> </w:t>
      </w:r>
    </w:p>
    <w:p w14:paraId="23AB3D0C" w14:textId="77777777" w:rsidR="005216E6" w:rsidRPr="004F64EE" w:rsidRDefault="005216E6" w:rsidP="00EB2EFB">
      <w:pPr>
        <w:keepNext/>
        <w:spacing w:line="200" w:lineRule="exact"/>
        <w:rPr>
          <w:rFonts w:ascii="Tahoma" w:hAnsi="Tahoma" w:cs="Tahoma"/>
          <w:sz w:val="18"/>
          <w:szCs w:val="18"/>
        </w:rPr>
      </w:pPr>
    </w:p>
    <w:p w14:paraId="23AB3D0D" w14:textId="77777777" w:rsidR="005216E6" w:rsidRPr="004F64EE" w:rsidRDefault="005216E6" w:rsidP="00EB2EFB">
      <w:pPr>
        <w:keepNext/>
        <w:spacing w:line="200" w:lineRule="exact"/>
        <w:rPr>
          <w:rFonts w:ascii="Tahoma" w:hAnsi="Tahoma" w:cs="Tahoma"/>
          <w:sz w:val="18"/>
          <w:szCs w:val="18"/>
        </w:rPr>
      </w:pPr>
    </w:p>
    <w:tbl>
      <w:tblPr>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540"/>
        <w:gridCol w:w="6300"/>
        <w:gridCol w:w="900"/>
      </w:tblGrid>
      <w:tr w:rsidR="005216E6" w:rsidRPr="00A6779E" w14:paraId="23AB3D19" w14:textId="77777777" w:rsidTr="004F64EE">
        <w:trPr>
          <w:trHeight w:val="1781"/>
        </w:trPr>
        <w:tc>
          <w:tcPr>
            <w:tcW w:w="2790" w:type="dxa"/>
          </w:tcPr>
          <w:p w14:paraId="23AB3D0E" w14:textId="77777777" w:rsidR="005216E6" w:rsidRPr="004F64EE" w:rsidRDefault="005216E6" w:rsidP="00EB2EFB">
            <w:pPr>
              <w:snapToGrid w:val="0"/>
              <w:rPr>
                <w:rFonts w:ascii="Tahoma" w:hAnsi="Tahoma" w:cs="Tahoma"/>
                <w:sz w:val="18"/>
                <w:szCs w:val="18"/>
              </w:rPr>
            </w:pPr>
          </w:p>
          <w:p w14:paraId="23AB3D0F" w14:textId="77777777" w:rsidR="005216E6" w:rsidRPr="004F64EE" w:rsidRDefault="005216E6" w:rsidP="00EB2EFB">
            <w:pPr>
              <w:snapToGrid w:val="0"/>
              <w:rPr>
                <w:rFonts w:ascii="Tahoma" w:hAnsi="Tahoma" w:cs="Tahoma"/>
                <w:sz w:val="18"/>
                <w:szCs w:val="18"/>
              </w:rPr>
            </w:pPr>
            <w:r w:rsidRPr="004F64EE">
              <w:rPr>
                <w:rFonts w:ascii="Tahoma" w:hAnsi="Tahoma" w:cs="Tahoma"/>
                <w:sz w:val="18"/>
                <w:szCs w:val="18"/>
              </w:rPr>
              <w:t xml:space="preserve">Robert S. Rubinger </w:t>
            </w:r>
          </w:p>
          <w:p w14:paraId="23AB3D10" w14:textId="77777777" w:rsidR="005216E6" w:rsidRPr="004F64EE" w:rsidRDefault="005216E6" w:rsidP="00EB2EFB">
            <w:pPr>
              <w:rPr>
                <w:rFonts w:ascii="Tahoma" w:hAnsi="Tahoma" w:cs="Tahoma"/>
                <w:sz w:val="18"/>
                <w:szCs w:val="18"/>
              </w:rPr>
            </w:pPr>
            <w:r w:rsidRPr="004F64EE">
              <w:rPr>
                <w:rFonts w:ascii="Tahoma" w:hAnsi="Tahoma" w:cs="Tahoma"/>
                <w:sz w:val="18"/>
                <w:szCs w:val="18"/>
              </w:rPr>
              <w:t xml:space="preserve">Executive Vice President, Secretary, Treasurer, Chief Financial Officer and Director       </w:t>
            </w:r>
          </w:p>
          <w:p w14:paraId="23AB3D11" w14:textId="77777777" w:rsidR="005216E6" w:rsidRPr="004F64EE" w:rsidRDefault="005216E6" w:rsidP="00EB2EFB">
            <w:pPr>
              <w:rPr>
                <w:rFonts w:ascii="Tahoma" w:hAnsi="Tahoma" w:cs="Tahoma"/>
                <w:sz w:val="18"/>
                <w:szCs w:val="18"/>
              </w:rPr>
            </w:pPr>
            <w:r w:rsidRPr="004F64EE">
              <w:rPr>
                <w:rFonts w:ascii="Tahoma" w:hAnsi="Tahoma" w:cs="Tahoma"/>
                <w:sz w:val="18"/>
                <w:szCs w:val="18"/>
              </w:rPr>
              <w:t xml:space="preserve">                         </w:t>
            </w:r>
          </w:p>
        </w:tc>
        <w:tc>
          <w:tcPr>
            <w:tcW w:w="540" w:type="dxa"/>
          </w:tcPr>
          <w:p w14:paraId="23AB3D12" w14:textId="77777777" w:rsidR="005216E6" w:rsidRPr="004F64EE" w:rsidRDefault="005216E6" w:rsidP="00EB2EFB">
            <w:pPr>
              <w:snapToGrid w:val="0"/>
              <w:jc w:val="center"/>
              <w:rPr>
                <w:rFonts w:ascii="Tahoma" w:hAnsi="Tahoma" w:cs="Tahoma"/>
                <w:sz w:val="18"/>
                <w:szCs w:val="18"/>
              </w:rPr>
            </w:pPr>
          </w:p>
          <w:p w14:paraId="23AB3D13" w14:textId="77777777" w:rsidR="005216E6" w:rsidRPr="004F64EE" w:rsidRDefault="005216E6" w:rsidP="00EB2EFB">
            <w:pPr>
              <w:snapToGrid w:val="0"/>
              <w:jc w:val="center"/>
              <w:rPr>
                <w:rFonts w:ascii="Tahoma" w:hAnsi="Tahoma" w:cs="Tahoma"/>
                <w:sz w:val="18"/>
                <w:szCs w:val="18"/>
              </w:rPr>
            </w:pPr>
            <w:r w:rsidRPr="004F64EE">
              <w:rPr>
                <w:rFonts w:ascii="Tahoma" w:hAnsi="Tahoma" w:cs="Tahoma"/>
                <w:sz w:val="18"/>
                <w:szCs w:val="18"/>
              </w:rPr>
              <w:t>72</w:t>
            </w:r>
          </w:p>
        </w:tc>
        <w:tc>
          <w:tcPr>
            <w:tcW w:w="6300" w:type="dxa"/>
          </w:tcPr>
          <w:p w14:paraId="23AB3D14" w14:textId="77777777" w:rsidR="005216E6" w:rsidRPr="004F64EE" w:rsidRDefault="005216E6" w:rsidP="00EB2EFB">
            <w:pPr>
              <w:snapToGrid w:val="0"/>
              <w:jc w:val="both"/>
              <w:rPr>
                <w:rFonts w:ascii="Tahoma" w:hAnsi="Tahoma" w:cs="Tahoma"/>
                <w:sz w:val="18"/>
                <w:szCs w:val="18"/>
              </w:rPr>
            </w:pPr>
          </w:p>
          <w:p w14:paraId="23AB3D15" w14:textId="77777777" w:rsidR="005216E6" w:rsidRPr="004F64EE" w:rsidRDefault="005216E6" w:rsidP="00EB2EFB">
            <w:pPr>
              <w:snapToGrid w:val="0"/>
              <w:jc w:val="both"/>
              <w:rPr>
                <w:rFonts w:ascii="Tahoma" w:hAnsi="Tahoma" w:cs="Tahoma"/>
                <w:sz w:val="18"/>
                <w:szCs w:val="18"/>
              </w:rPr>
            </w:pPr>
            <w:r w:rsidRPr="004F64EE">
              <w:rPr>
                <w:rFonts w:ascii="Tahoma" w:hAnsi="Tahoma" w:cs="Tahoma"/>
                <w:sz w:val="18"/>
                <w:szCs w:val="18"/>
              </w:rPr>
              <w:t>From July 1988 to date, Executive Vice President and Secretary of the Company. Treasurer of the Company from May 2010 to date and previously from May 1994 to May 2004, and Chief Financial Officer of the Company from December 2006 to date. He has leadership experience, business experience, and knowledge of the Company’s operations from over 3</w:t>
            </w:r>
            <w:r w:rsidR="006316B9" w:rsidRPr="004F64EE">
              <w:rPr>
                <w:rFonts w:ascii="Tahoma" w:hAnsi="Tahoma" w:cs="Tahoma"/>
                <w:sz w:val="18"/>
                <w:szCs w:val="18"/>
              </w:rPr>
              <w:t>5</w:t>
            </w:r>
            <w:r w:rsidRPr="004F64EE">
              <w:rPr>
                <w:rFonts w:ascii="Tahoma" w:hAnsi="Tahoma" w:cs="Tahoma"/>
                <w:sz w:val="18"/>
                <w:szCs w:val="18"/>
              </w:rPr>
              <w:t> years as Vice President and then Executive Vice President of the Company. He holds a bachelor’s degree in Economics/Business Management from Hunter College.</w:t>
            </w:r>
          </w:p>
          <w:p w14:paraId="23AB3D16" w14:textId="77777777" w:rsidR="005216E6" w:rsidRPr="004F64EE" w:rsidRDefault="005216E6" w:rsidP="00EB2EFB">
            <w:pPr>
              <w:snapToGrid w:val="0"/>
              <w:jc w:val="both"/>
              <w:rPr>
                <w:rFonts w:ascii="Tahoma" w:hAnsi="Tahoma" w:cs="Tahoma"/>
                <w:sz w:val="18"/>
                <w:szCs w:val="18"/>
              </w:rPr>
            </w:pPr>
          </w:p>
        </w:tc>
        <w:tc>
          <w:tcPr>
            <w:tcW w:w="900" w:type="dxa"/>
          </w:tcPr>
          <w:p w14:paraId="23AB3D17" w14:textId="77777777" w:rsidR="005216E6" w:rsidRPr="004F64EE" w:rsidRDefault="005216E6" w:rsidP="00EB2EFB">
            <w:pPr>
              <w:snapToGrid w:val="0"/>
              <w:spacing w:line="220" w:lineRule="exact"/>
              <w:jc w:val="center"/>
              <w:rPr>
                <w:rFonts w:ascii="Tahoma" w:hAnsi="Tahoma" w:cs="Tahoma"/>
                <w:sz w:val="18"/>
                <w:szCs w:val="18"/>
              </w:rPr>
            </w:pPr>
          </w:p>
          <w:p w14:paraId="23AB3D18" w14:textId="77777777" w:rsidR="005216E6" w:rsidRPr="004F64EE" w:rsidRDefault="005216E6" w:rsidP="00EB2EFB">
            <w:pPr>
              <w:snapToGrid w:val="0"/>
              <w:spacing w:line="220" w:lineRule="exact"/>
              <w:jc w:val="center"/>
              <w:rPr>
                <w:rFonts w:ascii="Tahoma" w:hAnsi="Tahoma" w:cs="Tahoma"/>
                <w:sz w:val="18"/>
                <w:szCs w:val="18"/>
              </w:rPr>
            </w:pPr>
            <w:r w:rsidRPr="004F64EE">
              <w:rPr>
                <w:rFonts w:ascii="Tahoma" w:hAnsi="Tahoma" w:cs="Tahoma"/>
                <w:sz w:val="18"/>
                <w:szCs w:val="18"/>
              </w:rPr>
              <w:t>1982</w:t>
            </w:r>
          </w:p>
        </w:tc>
      </w:tr>
      <w:tr w:rsidR="005216E6" w:rsidRPr="00A6779E" w14:paraId="23AB3D24" w14:textId="77777777" w:rsidTr="009330F6">
        <w:tc>
          <w:tcPr>
            <w:tcW w:w="2790" w:type="dxa"/>
          </w:tcPr>
          <w:p w14:paraId="23AB3D1A" w14:textId="77777777" w:rsidR="005216E6" w:rsidRPr="004F64EE" w:rsidRDefault="005216E6" w:rsidP="00EB2EFB">
            <w:pPr>
              <w:snapToGrid w:val="0"/>
              <w:rPr>
                <w:rFonts w:ascii="Tahoma" w:hAnsi="Tahoma" w:cs="Tahoma"/>
                <w:sz w:val="18"/>
                <w:szCs w:val="18"/>
              </w:rPr>
            </w:pPr>
          </w:p>
          <w:p w14:paraId="23AB3D1B" w14:textId="77777777" w:rsidR="005216E6" w:rsidRPr="004F64EE" w:rsidRDefault="005216E6" w:rsidP="00EB2EFB">
            <w:pPr>
              <w:snapToGrid w:val="0"/>
              <w:rPr>
                <w:rFonts w:ascii="Tahoma" w:hAnsi="Tahoma" w:cs="Tahoma"/>
                <w:sz w:val="18"/>
                <w:szCs w:val="18"/>
              </w:rPr>
            </w:pPr>
            <w:r w:rsidRPr="004F64EE">
              <w:rPr>
                <w:rFonts w:ascii="Tahoma" w:hAnsi="Tahoma" w:cs="Tahoma"/>
                <w:sz w:val="18"/>
                <w:szCs w:val="18"/>
              </w:rPr>
              <w:t xml:space="preserve">Kenneth H. Globus </w:t>
            </w:r>
          </w:p>
          <w:p w14:paraId="23AB3D1C" w14:textId="77777777" w:rsidR="005216E6" w:rsidRPr="004F64EE" w:rsidRDefault="005216E6" w:rsidP="00EB2EFB">
            <w:pPr>
              <w:rPr>
                <w:rFonts w:ascii="Tahoma" w:hAnsi="Tahoma" w:cs="Tahoma"/>
                <w:sz w:val="18"/>
                <w:szCs w:val="18"/>
              </w:rPr>
            </w:pPr>
            <w:r w:rsidRPr="004F64EE">
              <w:rPr>
                <w:rFonts w:ascii="Tahoma" w:hAnsi="Tahoma" w:cs="Tahoma"/>
                <w:sz w:val="18"/>
                <w:szCs w:val="18"/>
              </w:rPr>
              <w:t xml:space="preserve">President, General Counsel and Chairman of the </w:t>
            </w:r>
            <w:r w:rsidR="006F31D2" w:rsidRPr="004F64EE">
              <w:rPr>
                <w:rFonts w:ascii="Tahoma" w:hAnsi="Tahoma" w:cs="Tahoma"/>
                <w:sz w:val="18"/>
                <w:szCs w:val="18"/>
              </w:rPr>
              <w:t>Board</w:t>
            </w:r>
          </w:p>
          <w:p w14:paraId="23AB3D1D" w14:textId="77777777" w:rsidR="005216E6" w:rsidRPr="004F64EE" w:rsidRDefault="005216E6" w:rsidP="00EB2EFB">
            <w:pPr>
              <w:rPr>
                <w:rFonts w:ascii="Tahoma" w:hAnsi="Tahoma" w:cs="Tahoma"/>
                <w:sz w:val="18"/>
                <w:szCs w:val="18"/>
              </w:rPr>
            </w:pPr>
            <w:r w:rsidRPr="004F64EE">
              <w:rPr>
                <w:rFonts w:ascii="Tahoma" w:hAnsi="Tahoma" w:cs="Tahoma"/>
                <w:sz w:val="18"/>
                <w:szCs w:val="18"/>
              </w:rPr>
              <w:t xml:space="preserve">                </w:t>
            </w:r>
          </w:p>
        </w:tc>
        <w:tc>
          <w:tcPr>
            <w:tcW w:w="540" w:type="dxa"/>
          </w:tcPr>
          <w:p w14:paraId="23AB3D1E" w14:textId="77777777" w:rsidR="005216E6" w:rsidRPr="004F64EE" w:rsidRDefault="005216E6" w:rsidP="00EB2EFB">
            <w:pPr>
              <w:snapToGrid w:val="0"/>
              <w:jc w:val="center"/>
              <w:rPr>
                <w:rFonts w:ascii="Tahoma" w:hAnsi="Tahoma" w:cs="Tahoma"/>
                <w:sz w:val="18"/>
                <w:szCs w:val="18"/>
              </w:rPr>
            </w:pPr>
          </w:p>
          <w:p w14:paraId="23AB3D1F" w14:textId="77777777" w:rsidR="005216E6" w:rsidRPr="004F64EE" w:rsidRDefault="005216E6" w:rsidP="00EB2EFB">
            <w:pPr>
              <w:snapToGrid w:val="0"/>
              <w:jc w:val="center"/>
              <w:rPr>
                <w:rFonts w:ascii="Tahoma" w:hAnsi="Tahoma" w:cs="Tahoma"/>
                <w:sz w:val="18"/>
                <w:szCs w:val="18"/>
              </w:rPr>
            </w:pPr>
            <w:r w:rsidRPr="004F64EE">
              <w:rPr>
                <w:rFonts w:ascii="Tahoma" w:hAnsi="Tahoma" w:cs="Tahoma"/>
                <w:sz w:val="18"/>
                <w:szCs w:val="18"/>
              </w:rPr>
              <w:t>63</w:t>
            </w:r>
          </w:p>
        </w:tc>
        <w:tc>
          <w:tcPr>
            <w:tcW w:w="6300" w:type="dxa"/>
          </w:tcPr>
          <w:p w14:paraId="23AB3D20" w14:textId="77777777" w:rsidR="005216E6" w:rsidRPr="004F64EE" w:rsidRDefault="005216E6" w:rsidP="0096573C">
            <w:pPr>
              <w:snapToGrid w:val="0"/>
              <w:jc w:val="both"/>
              <w:rPr>
                <w:rFonts w:ascii="Tahoma" w:hAnsi="Tahoma" w:cs="Tahoma"/>
                <w:sz w:val="18"/>
                <w:szCs w:val="18"/>
              </w:rPr>
            </w:pPr>
          </w:p>
          <w:p w14:paraId="23AB3D21" w14:textId="77777777" w:rsidR="005216E6" w:rsidRPr="004F64EE" w:rsidRDefault="005216E6" w:rsidP="00C81F4E">
            <w:pPr>
              <w:snapToGrid w:val="0"/>
              <w:jc w:val="both"/>
              <w:rPr>
                <w:rFonts w:ascii="Tahoma" w:hAnsi="Tahoma" w:cs="Tahoma"/>
                <w:sz w:val="18"/>
                <w:szCs w:val="18"/>
              </w:rPr>
            </w:pPr>
            <w:r w:rsidRPr="004F64EE">
              <w:rPr>
                <w:rFonts w:ascii="Tahoma" w:hAnsi="Tahoma" w:cs="Tahoma"/>
                <w:sz w:val="18"/>
                <w:szCs w:val="18"/>
              </w:rPr>
              <w:t xml:space="preserve">From July 1988 to date, President and General Counsel of the Company. Chief Financial Officer of the Company from November 1997 to December 2006. Chairman of the </w:t>
            </w:r>
            <w:r w:rsidR="006F31D2" w:rsidRPr="004F64EE">
              <w:rPr>
                <w:rFonts w:ascii="Tahoma" w:hAnsi="Tahoma" w:cs="Tahoma"/>
                <w:sz w:val="18"/>
                <w:szCs w:val="18"/>
              </w:rPr>
              <w:t>Board</w:t>
            </w:r>
            <w:r w:rsidRPr="004F64EE">
              <w:rPr>
                <w:rFonts w:ascii="Tahoma" w:hAnsi="Tahoma" w:cs="Tahoma"/>
                <w:sz w:val="18"/>
                <w:szCs w:val="18"/>
              </w:rPr>
              <w:t xml:space="preserve"> since September 2009. He has leadership experience, business experience, legal experience, and knowledge of the Company’s operations from over </w:t>
            </w:r>
            <w:r w:rsidR="00C81F4E" w:rsidRPr="004F64EE">
              <w:rPr>
                <w:rFonts w:ascii="Tahoma" w:hAnsi="Tahoma" w:cs="Tahoma"/>
                <w:sz w:val="18"/>
                <w:szCs w:val="18"/>
              </w:rPr>
              <w:t>30</w:t>
            </w:r>
            <w:r w:rsidRPr="004F64EE">
              <w:rPr>
                <w:rFonts w:ascii="Tahoma" w:hAnsi="Tahoma" w:cs="Tahoma"/>
                <w:sz w:val="18"/>
                <w:szCs w:val="18"/>
              </w:rPr>
              <w:t xml:space="preserve"> years as Vice President, then President, and General Counsel of the Company, and his prior years as an attorney in private practice. He holds a bachelor’s degree in Psychology and English from SUNY at Albany, and a Juris Doctor degree from the George Washington University Law School.</w:t>
            </w:r>
          </w:p>
        </w:tc>
        <w:tc>
          <w:tcPr>
            <w:tcW w:w="900" w:type="dxa"/>
          </w:tcPr>
          <w:p w14:paraId="23AB3D22" w14:textId="77777777" w:rsidR="005216E6" w:rsidRPr="004F64EE" w:rsidRDefault="005216E6" w:rsidP="00EB2EFB">
            <w:pPr>
              <w:snapToGrid w:val="0"/>
              <w:spacing w:line="220" w:lineRule="exact"/>
              <w:jc w:val="center"/>
              <w:rPr>
                <w:rFonts w:ascii="Tahoma" w:hAnsi="Tahoma" w:cs="Tahoma"/>
                <w:sz w:val="18"/>
                <w:szCs w:val="18"/>
              </w:rPr>
            </w:pPr>
          </w:p>
          <w:p w14:paraId="23AB3D23" w14:textId="77777777" w:rsidR="005216E6" w:rsidRPr="004F64EE" w:rsidRDefault="005216E6" w:rsidP="00EB2EFB">
            <w:pPr>
              <w:snapToGrid w:val="0"/>
              <w:spacing w:line="220" w:lineRule="exact"/>
              <w:jc w:val="center"/>
              <w:rPr>
                <w:rFonts w:ascii="Tahoma" w:hAnsi="Tahoma" w:cs="Tahoma"/>
                <w:sz w:val="18"/>
                <w:szCs w:val="18"/>
              </w:rPr>
            </w:pPr>
            <w:r w:rsidRPr="004F64EE">
              <w:rPr>
                <w:rFonts w:ascii="Tahoma" w:hAnsi="Tahoma" w:cs="Tahoma"/>
                <w:sz w:val="18"/>
                <w:szCs w:val="18"/>
              </w:rPr>
              <w:t>1984</w:t>
            </w:r>
          </w:p>
        </w:tc>
      </w:tr>
      <w:tr w:rsidR="005216E6" w:rsidRPr="00A6779E" w14:paraId="23AB3D2F" w14:textId="77777777" w:rsidTr="004F64EE">
        <w:trPr>
          <w:trHeight w:val="2069"/>
        </w:trPr>
        <w:tc>
          <w:tcPr>
            <w:tcW w:w="2790" w:type="dxa"/>
          </w:tcPr>
          <w:p w14:paraId="23AB3D25" w14:textId="77777777" w:rsidR="005216E6" w:rsidRPr="004F64EE" w:rsidRDefault="005216E6" w:rsidP="00EB2EFB">
            <w:pPr>
              <w:snapToGrid w:val="0"/>
              <w:rPr>
                <w:rFonts w:ascii="Tahoma" w:hAnsi="Tahoma" w:cs="Tahoma"/>
                <w:sz w:val="18"/>
                <w:szCs w:val="18"/>
              </w:rPr>
            </w:pPr>
          </w:p>
          <w:p w14:paraId="23AB3D26" w14:textId="77777777" w:rsidR="005216E6" w:rsidRPr="004F64EE" w:rsidRDefault="005216E6" w:rsidP="00EB2EFB">
            <w:pPr>
              <w:snapToGrid w:val="0"/>
              <w:rPr>
                <w:rFonts w:ascii="Tahoma" w:hAnsi="Tahoma" w:cs="Tahoma"/>
                <w:sz w:val="18"/>
                <w:szCs w:val="18"/>
              </w:rPr>
            </w:pPr>
            <w:r w:rsidRPr="004F64EE">
              <w:rPr>
                <w:rFonts w:ascii="Tahoma" w:hAnsi="Tahoma" w:cs="Tahoma"/>
                <w:sz w:val="18"/>
                <w:szCs w:val="18"/>
              </w:rPr>
              <w:t>Lawrence F. Maietta</w:t>
            </w:r>
          </w:p>
          <w:p w14:paraId="23AB3D27" w14:textId="77777777" w:rsidR="005216E6" w:rsidRPr="004F64EE" w:rsidRDefault="005216E6" w:rsidP="00EB2EFB">
            <w:pPr>
              <w:rPr>
                <w:rFonts w:ascii="Tahoma" w:hAnsi="Tahoma" w:cs="Tahoma"/>
                <w:sz w:val="18"/>
                <w:szCs w:val="18"/>
              </w:rPr>
            </w:pPr>
            <w:r w:rsidRPr="004F64EE">
              <w:rPr>
                <w:rFonts w:ascii="Tahoma" w:hAnsi="Tahoma" w:cs="Tahoma"/>
                <w:sz w:val="18"/>
                <w:szCs w:val="18"/>
              </w:rPr>
              <w:t xml:space="preserve">Director  </w:t>
            </w:r>
          </w:p>
        </w:tc>
        <w:tc>
          <w:tcPr>
            <w:tcW w:w="540" w:type="dxa"/>
          </w:tcPr>
          <w:p w14:paraId="23AB3D28" w14:textId="77777777" w:rsidR="005216E6" w:rsidRPr="004F64EE" w:rsidRDefault="005216E6" w:rsidP="00EB2EFB">
            <w:pPr>
              <w:snapToGrid w:val="0"/>
              <w:jc w:val="center"/>
              <w:rPr>
                <w:rFonts w:ascii="Tahoma" w:hAnsi="Tahoma" w:cs="Tahoma"/>
                <w:sz w:val="18"/>
                <w:szCs w:val="18"/>
              </w:rPr>
            </w:pPr>
          </w:p>
          <w:p w14:paraId="23AB3D29" w14:textId="77777777" w:rsidR="005216E6" w:rsidRPr="004F64EE" w:rsidRDefault="005216E6" w:rsidP="00EB2EFB">
            <w:pPr>
              <w:snapToGrid w:val="0"/>
              <w:jc w:val="center"/>
              <w:rPr>
                <w:rFonts w:ascii="Tahoma" w:hAnsi="Tahoma" w:cs="Tahoma"/>
                <w:sz w:val="18"/>
                <w:szCs w:val="18"/>
              </w:rPr>
            </w:pPr>
            <w:r w:rsidRPr="004F64EE">
              <w:rPr>
                <w:rFonts w:ascii="Tahoma" w:hAnsi="Tahoma" w:cs="Tahoma"/>
                <w:sz w:val="18"/>
                <w:szCs w:val="18"/>
              </w:rPr>
              <w:t>57</w:t>
            </w:r>
          </w:p>
        </w:tc>
        <w:tc>
          <w:tcPr>
            <w:tcW w:w="6300" w:type="dxa"/>
          </w:tcPr>
          <w:p w14:paraId="23AB3D2A" w14:textId="77777777" w:rsidR="005216E6" w:rsidRPr="004F64EE" w:rsidRDefault="005216E6" w:rsidP="00EB2EFB">
            <w:pPr>
              <w:snapToGrid w:val="0"/>
              <w:jc w:val="both"/>
              <w:rPr>
                <w:rFonts w:ascii="Tahoma" w:hAnsi="Tahoma" w:cs="Tahoma"/>
                <w:sz w:val="18"/>
                <w:szCs w:val="18"/>
              </w:rPr>
            </w:pPr>
          </w:p>
          <w:p w14:paraId="23AB3D2B" w14:textId="77777777" w:rsidR="005216E6" w:rsidRPr="004F64EE" w:rsidRDefault="005216E6" w:rsidP="00EB2EFB">
            <w:pPr>
              <w:snapToGrid w:val="0"/>
              <w:jc w:val="both"/>
              <w:rPr>
                <w:rFonts w:ascii="Tahoma" w:hAnsi="Tahoma" w:cs="Tahoma"/>
                <w:sz w:val="18"/>
                <w:szCs w:val="18"/>
              </w:rPr>
            </w:pPr>
            <w:r w:rsidRPr="004F64EE">
              <w:rPr>
                <w:rFonts w:ascii="Tahoma" w:hAnsi="Tahoma" w:cs="Tahoma"/>
                <w:sz w:val="18"/>
                <w:szCs w:val="18"/>
              </w:rPr>
              <w:t>Partner in the accounting firm of Bonamassa, Maietta &amp; Cartelli, LLP, Brooklyn, NY, since October 1991. Controller of the Company from October 1991 to November 1997. He has financial experience, business experience, and an extensive knowledge of the Company’s operations. He has been a CPA and consultant preparing financial reports and tax returns for the Company and other clients for more than 25 years. He holds a bachelor’s degree in Business Administration from Niagara University, and an MBA from Hofstra University. (2)</w:t>
            </w:r>
          </w:p>
          <w:p w14:paraId="23AB3D2C" w14:textId="77777777" w:rsidR="005216E6" w:rsidRPr="004F64EE" w:rsidRDefault="005216E6" w:rsidP="00EB2EFB">
            <w:pPr>
              <w:snapToGrid w:val="0"/>
              <w:jc w:val="both"/>
              <w:rPr>
                <w:rFonts w:ascii="Tahoma" w:hAnsi="Tahoma" w:cs="Tahoma"/>
                <w:sz w:val="18"/>
                <w:szCs w:val="18"/>
              </w:rPr>
            </w:pPr>
          </w:p>
        </w:tc>
        <w:tc>
          <w:tcPr>
            <w:tcW w:w="900" w:type="dxa"/>
          </w:tcPr>
          <w:p w14:paraId="23AB3D2D" w14:textId="77777777" w:rsidR="005216E6" w:rsidRPr="004F64EE" w:rsidRDefault="005216E6" w:rsidP="00EB2EFB">
            <w:pPr>
              <w:snapToGrid w:val="0"/>
              <w:spacing w:line="220" w:lineRule="exact"/>
              <w:jc w:val="center"/>
              <w:rPr>
                <w:rFonts w:ascii="Tahoma" w:hAnsi="Tahoma" w:cs="Tahoma"/>
                <w:sz w:val="18"/>
                <w:szCs w:val="18"/>
              </w:rPr>
            </w:pPr>
          </w:p>
          <w:p w14:paraId="23AB3D2E" w14:textId="77777777" w:rsidR="005216E6" w:rsidRPr="004F64EE" w:rsidRDefault="005216E6" w:rsidP="00EB2EFB">
            <w:pPr>
              <w:snapToGrid w:val="0"/>
              <w:spacing w:line="220" w:lineRule="exact"/>
              <w:jc w:val="center"/>
              <w:rPr>
                <w:rFonts w:ascii="Tahoma" w:hAnsi="Tahoma" w:cs="Tahoma"/>
                <w:sz w:val="18"/>
                <w:szCs w:val="18"/>
              </w:rPr>
            </w:pPr>
            <w:r w:rsidRPr="004F64EE">
              <w:rPr>
                <w:rFonts w:ascii="Tahoma" w:hAnsi="Tahoma" w:cs="Tahoma"/>
                <w:sz w:val="18"/>
                <w:szCs w:val="18"/>
              </w:rPr>
              <w:t>1994</w:t>
            </w:r>
          </w:p>
        </w:tc>
      </w:tr>
      <w:tr w:rsidR="005216E6" w:rsidRPr="00A6779E" w14:paraId="23AB3D39" w14:textId="77777777" w:rsidTr="009330F6">
        <w:trPr>
          <w:trHeight w:val="1106"/>
        </w:trPr>
        <w:tc>
          <w:tcPr>
            <w:tcW w:w="2790" w:type="dxa"/>
          </w:tcPr>
          <w:p w14:paraId="23AB3D30" w14:textId="77777777" w:rsidR="005216E6" w:rsidRPr="004F64EE" w:rsidRDefault="005216E6" w:rsidP="00EB2EFB">
            <w:pPr>
              <w:snapToGrid w:val="0"/>
              <w:rPr>
                <w:rFonts w:ascii="Tahoma" w:hAnsi="Tahoma" w:cs="Tahoma"/>
                <w:sz w:val="18"/>
                <w:szCs w:val="18"/>
              </w:rPr>
            </w:pPr>
          </w:p>
          <w:p w14:paraId="23AB3D31" w14:textId="77777777" w:rsidR="005216E6" w:rsidRPr="004F64EE" w:rsidRDefault="005216E6" w:rsidP="00EB2EFB">
            <w:pPr>
              <w:snapToGrid w:val="0"/>
              <w:rPr>
                <w:rFonts w:ascii="Tahoma" w:hAnsi="Tahoma" w:cs="Tahoma"/>
                <w:sz w:val="18"/>
                <w:szCs w:val="18"/>
              </w:rPr>
            </w:pPr>
            <w:r w:rsidRPr="004F64EE">
              <w:rPr>
                <w:rFonts w:ascii="Tahoma" w:hAnsi="Tahoma" w:cs="Tahoma"/>
                <w:sz w:val="18"/>
                <w:szCs w:val="18"/>
              </w:rPr>
              <w:t xml:space="preserve">Arthur M. Dresner   </w:t>
            </w:r>
          </w:p>
          <w:p w14:paraId="23AB3D32" w14:textId="77777777" w:rsidR="005216E6" w:rsidRPr="004F64EE" w:rsidRDefault="005216E6" w:rsidP="00EB2EFB">
            <w:pPr>
              <w:rPr>
                <w:rFonts w:ascii="Tahoma" w:hAnsi="Tahoma" w:cs="Tahoma"/>
                <w:sz w:val="18"/>
                <w:szCs w:val="18"/>
              </w:rPr>
            </w:pPr>
            <w:r w:rsidRPr="004F64EE">
              <w:rPr>
                <w:rFonts w:ascii="Tahoma" w:hAnsi="Tahoma" w:cs="Tahoma"/>
                <w:sz w:val="18"/>
                <w:szCs w:val="18"/>
              </w:rPr>
              <w:t>Director</w:t>
            </w:r>
          </w:p>
        </w:tc>
        <w:tc>
          <w:tcPr>
            <w:tcW w:w="540" w:type="dxa"/>
          </w:tcPr>
          <w:p w14:paraId="23AB3D33" w14:textId="77777777" w:rsidR="005216E6" w:rsidRPr="004F64EE" w:rsidRDefault="005216E6" w:rsidP="00EB2EFB">
            <w:pPr>
              <w:snapToGrid w:val="0"/>
              <w:jc w:val="center"/>
              <w:rPr>
                <w:rFonts w:ascii="Tahoma" w:hAnsi="Tahoma" w:cs="Tahoma"/>
                <w:sz w:val="18"/>
                <w:szCs w:val="18"/>
              </w:rPr>
            </w:pPr>
          </w:p>
          <w:p w14:paraId="23AB3D34" w14:textId="77777777" w:rsidR="005216E6" w:rsidRPr="004F64EE" w:rsidRDefault="005216E6" w:rsidP="00EB2EFB">
            <w:pPr>
              <w:snapToGrid w:val="0"/>
              <w:jc w:val="center"/>
              <w:rPr>
                <w:rFonts w:ascii="Tahoma" w:hAnsi="Tahoma" w:cs="Tahoma"/>
                <w:sz w:val="18"/>
                <w:szCs w:val="18"/>
              </w:rPr>
            </w:pPr>
            <w:r w:rsidRPr="004F64EE">
              <w:rPr>
                <w:rFonts w:ascii="Tahoma" w:hAnsi="Tahoma" w:cs="Tahoma"/>
                <w:sz w:val="18"/>
                <w:szCs w:val="18"/>
              </w:rPr>
              <w:t>73</w:t>
            </w:r>
          </w:p>
        </w:tc>
        <w:tc>
          <w:tcPr>
            <w:tcW w:w="6300" w:type="dxa"/>
          </w:tcPr>
          <w:p w14:paraId="23AB3D35" w14:textId="77777777" w:rsidR="005216E6" w:rsidRPr="004F64EE" w:rsidRDefault="005216E6" w:rsidP="00EB2EFB">
            <w:pPr>
              <w:snapToGrid w:val="0"/>
              <w:jc w:val="both"/>
              <w:rPr>
                <w:rFonts w:ascii="Tahoma" w:hAnsi="Tahoma" w:cs="Tahoma"/>
                <w:sz w:val="18"/>
                <w:szCs w:val="18"/>
              </w:rPr>
            </w:pPr>
          </w:p>
          <w:p w14:paraId="23AB3D36" w14:textId="77777777" w:rsidR="005216E6" w:rsidRPr="004F64EE" w:rsidRDefault="005216E6" w:rsidP="00EB2EFB">
            <w:pPr>
              <w:snapToGrid w:val="0"/>
              <w:jc w:val="both"/>
              <w:rPr>
                <w:rFonts w:ascii="Tahoma" w:hAnsi="Tahoma" w:cs="Tahoma"/>
                <w:sz w:val="18"/>
                <w:szCs w:val="18"/>
              </w:rPr>
            </w:pPr>
            <w:r w:rsidRPr="004F64EE">
              <w:rPr>
                <w:rFonts w:ascii="Tahoma" w:hAnsi="Tahoma" w:cs="Tahoma"/>
                <w:sz w:val="18"/>
                <w:szCs w:val="18"/>
              </w:rPr>
              <w:t xml:space="preserve">Counsel to the law firm of Duane Morris LLP, New York, NY, since August 2007. He has leadership experience, legal experience, business experience, and a scientific education and background. From 1998 to 2007 he was partner and previously “Of Counsel” to the law firm of Reed Smith, LLP, New York, NY. </w:t>
            </w:r>
            <w:r w:rsidRPr="004F64EE">
              <w:rPr>
                <w:rFonts w:ascii="Tahoma" w:hAnsi="Tahoma" w:cs="Tahoma"/>
                <w:sz w:val="18"/>
                <w:szCs w:val="18"/>
                <w:lang w:eastAsia="en-US"/>
              </w:rPr>
              <w:t>For more than 20 years prior, he was employed by GAF Corporation and its subsidiary, International Specialty Products, Inc., Wayne, NJ, including having been Vice President of corporate development and general management for the last 8 of those years.</w:t>
            </w:r>
            <w:r w:rsidRPr="004F64EE">
              <w:rPr>
                <w:rFonts w:ascii="Tahoma" w:hAnsi="Tahoma" w:cs="Tahoma"/>
                <w:sz w:val="18"/>
                <w:szCs w:val="18"/>
              </w:rPr>
              <w:t xml:space="preserve"> </w:t>
            </w:r>
            <w:r w:rsidRPr="004F64EE">
              <w:rPr>
                <w:rFonts w:ascii="Tahoma" w:hAnsi="Tahoma" w:cs="Tahoma"/>
                <w:sz w:val="18"/>
                <w:szCs w:val="18"/>
                <w:lang w:eastAsia="en-US"/>
              </w:rPr>
              <w:t xml:space="preserve">He holds a bachelor’s degree in Engineering from Stevens Institute of Technology, and a Juris Doctor degree from St. John’s University School of </w:t>
            </w:r>
            <w:r w:rsidRPr="004F64EE">
              <w:rPr>
                <w:rFonts w:ascii="Tahoma" w:hAnsi="Tahoma" w:cs="Tahoma"/>
                <w:sz w:val="18"/>
                <w:szCs w:val="18"/>
              </w:rPr>
              <w:t>Law</w:t>
            </w:r>
            <w:r w:rsidRPr="004F64EE">
              <w:rPr>
                <w:rFonts w:ascii="Tahoma" w:hAnsi="Tahoma" w:cs="Tahoma"/>
                <w:color w:val="000080"/>
                <w:sz w:val="18"/>
                <w:szCs w:val="18"/>
              </w:rPr>
              <w:t>. (1) (2)</w:t>
            </w:r>
          </w:p>
        </w:tc>
        <w:tc>
          <w:tcPr>
            <w:tcW w:w="900" w:type="dxa"/>
          </w:tcPr>
          <w:p w14:paraId="23AB3D37" w14:textId="77777777" w:rsidR="005216E6" w:rsidRPr="004F64EE" w:rsidRDefault="005216E6" w:rsidP="00EB2EFB">
            <w:pPr>
              <w:snapToGrid w:val="0"/>
              <w:spacing w:line="220" w:lineRule="exact"/>
              <w:jc w:val="center"/>
              <w:rPr>
                <w:rFonts w:ascii="Tahoma" w:hAnsi="Tahoma" w:cs="Tahoma"/>
                <w:sz w:val="18"/>
                <w:szCs w:val="18"/>
              </w:rPr>
            </w:pPr>
          </w:p>
          <w:p w14:paraId="23AB3D38" w14:textId="77777777" w:rsidR="005216E6" w:rsidRPr="004F64EE" w:rsidRDefault="005216E6" w:rsidP="00EB2EFB">
            <w:pPr>
              <w:snapToGrid w:val="0"/>
              <w:spacing w:line="220" w:lineRule="exact"/>
              <w:jc w:val="center"/>
              <w:rPr>
                <w:rFonts w:ascii="Tahoma" w:hAnsi="Tahoma" w:cs="Tahoma"/>
                <w:sz w:val="18"/>
                <w:szCs w:val="18"/>
              </w:rPr>
            </w:pPr>
            <w:r w:rsidRPr="004F64EE">
              <w:rPr>
                <w:rFonts w:ascii="Tahoma" w:hAnsi="Tahoma" w:cs="Tahoma"/>
                <w:sz w:val="18"/>
                <w:szCs w:val="18"/>
              </w:rPr>
              <w:t>1997</w:t>
            </w:r>
          </w:p>
        </w:tc>
      </w:tr>
      <w:tr w:rsidR="005216E6" w:rsidRPr="00A6779E" w14:paraId="23AB3D44" w14:textId="77777777" w:rsidTr="004F64EE">
        <w:trPr>
          <w:trHeight w:val="2033"/>
        </w:trPr>
        <w:tc>
          <w:tcPr>
            <w:tcW w:w="2790" w:type="dxa"/>
          </w:tcPr>
          <w:p w14:paraId="23AB3D3A" w14:textId="77777777" w:rsidR="005216E6" w:rsidRPr="004F64EE" w:rsidRDefault="005216E6" w:rsidP="00EB2EFB">
            <w:pPr>
              <w:snapToGrid w:val="0"/>
              <w:rPr>
                <w:rFonts w:ascii="Tahoma" w:hAnsi="Tahoma" w:cs="Tahoma"/>
                <w:sz w:val="18"/>
                <w:szCs w:val="18"/>
              </w:rPr>
            </w:pPr>
          </w:p>
          <w:p w14:paraId="23AB3D3B" w14:textId="77777777" w:rsidR="005216E6" w:rsidRPr="004F64EE" w:rsidRDefault="005216E6" w:rsidP="00EB2EFB">
            <w:pPr>
              <w:snapToGrid w:val="0"/>
              <w:rPr>
                <w:rFonts w:ascii="Tahoma" w:hAnsi="Tahoma" w:cs="Tahoma"/>
                <w:sz w:val="18"/>
                <w:szCs w:val="18"/>
              </w:rPr>
            </w:pPr>
            <w:r w:rsidRPr="004F64EE">
              <w:rPr>
                <w:rFonts w:ascii="Tahoma" w:hAnsi="Tahoma" w:cs="Tahoma"/>
                <w:sz w:val="18"/>
                <w:szCs w:val="18"/>
              </w:rPr>
              <w:t xml:space="preserve">Andrew A. Boccone        </w:t>
            </w:r>
          </w:p>
          <w:p w14:paraId="23AB3D3C" w14:textId="77777777" w:rsidR="005216E6" w:rsidRPr="004F64EE" w:rsidRDefault="005216E6" w:rsidP="00EB2EFB">
            <w:pPr>
              <w:rPr>
                <w:rFonts w:ascii="Tahoma" w:hAnsi="Tahoma" w:cs="Tahoma"/>
                <w:sz w:val="18"/>
                <w:szCs w:val="18"/>
              </w:rPr>
            </w:pPr>
            <w:r w:rsidRPr="004F64EE">
              <w:rPr>
                <w:rFonts w:ascii="Tahoma" w:hAnsi="Tahoma" w:cs="Tahoma"/>
                <w:sz w:val="18"/>
                <w:szCs w:val="18"/>
              </w:rPr>
              <w:t xml:space="preserve">Director </w:t>
            </w:r>
          </w:p>
        </w:tc>
        <w:tc>
          <w:tcPr>
            <w:tcW w:w="540" w:type="dxa"/>
          </w:tcPr>
          <w:p w14:paraId="23AB3D3D" w14:textId="77777777" w:rsidR="005216E6" w:rsidRPr="004F64EE" w:rsidRDefault="005216E6" w:rsidP="00EB2EFB">
            <w:pPr>
              <w:snapToGrid w:val="0"/>
              <w:jc w:val="center"/>
              <w:rPr>
                <w:rFonts w:ascii="Tahoma" w:hAnsi="Tahoma" w:cs="Tahoma"/>
                <w:sz w:val="18"/>
                <w:szCs w:val="18"/>
              </w:rPr>
            </w:pPr>
          </w:p>
          <w:p w14:paraId="23AB3D3E" w14:textId="77777777" w:rsidR="005216E6" w:rsidRPr="004F64EE" w:rsidRDefault="005216E6" w:rsidP="00EB2EFB">
            <w:pPr>
              <w:snapToGrid w:val="0"/>
              <w:jc w:val="center"/>
              <w:rPr>
                <w:rFonts w:ascii="Tahoma" w:hAnsi="Tahoma" w:cs="Tahoma"/>
                <w:sz w:val="18"/>
                <w:szCs w:val="18"/>
              </w:rPr>
            </w:pPr>
            <w:r w:rsidRPr="004F64EE">
              <w:rPr>
                <w:rFonts w:ascii="Tahoma" w:hAnsi="Tahoma" w:cs="Tahoma"/>
                <w:sz w:val="18"/>
                <w:szCs w:val="18"/>
              </w:rPr>
              <w:t>69</w:t>
            </w:r>
          </w:p>
        </w:tc>
        <w:tc>
          <w:tcPr>
            <w:tcW w:w="6300" w:type="dxa"/>
          </w:tcPr>
          <w:p w14:paraId="23AB3D3F" w14:textId="77777777" w:rsidR="005216E6" w:rsidRPr="004F64EE" w:rsidRDefault="005216E6" w:rsidP="00EB2EFB">
            <w:pPr>
              <w:jc w:val="both"/>
              <w:rPr>
                <w:rFonts w:ascii="Tahoma" w:hAnsi="Tahoma" w:cs="Tahoma"/>
                <w:sz w:val="18"/>
                <w:szCs w:val="18"/>
              </w:rPr>
            </w:pPr>
          </w:p>
          <w:p w14:paraId="23AB3D40" w14:textId="77777777" w:rsidR="005216E6" w:rsidRPr="004F64EE" w:rsidRDefault="005216E6" w:rsidP="00EB2EFB">
            <w:pPr>
              <w:jc w:val="both"/>
              <w:rPr>
                <w:rFonts w:ascii="Tahoma" w:hAnsi="Tahoma" w:cs="Tahoma"/>
                <w:sz w:val="18"/>
                <w:szCs w:val="18"/>
              </w:rPr>
            </w:pPr>
            <w:r w:rsidRPr="004F64EE">
              <w:rPr>
                <w:rFonts w:ascii="Tahoma" w:hAnsi="Tahoma" w:cs="Tahoma"/>
                <w:sz w:val="18"/>
                <w:szCs w:val="18"/>
              </w:rPr>
              <w:t>Independent business consultant since 2001. He has leadership experience, business experience, and a scientific education and background. For more than 25 years he was employed by Kline &amp; Company, Inc., Little Falls, NJ, an international business consulting and market research firm specializing in the chemicals industry, consumer products, life sciences, and energy, including having been President from 1990 to 2001. He holds a bachelor's degree in Chemistry from Hofstra University, and an MBA from Seton Hall University. (1) (2)</w:t>
            </w:r>
          </w:p>
          <w:p w14:paraId="23AB3D41" w14:textId="77777777" w:rsidR="005216E6" w:rsidRPr="004F64EE" w:rsidRDefault="005216E6" w:rsidP="00EB2EFB">
            <w:pPr>
              <w:jc w:val="both"/>
              <w:rPr>
                <w:rFonts w:ascii="Tahoma" w:hAnsi="Tahoma" w:cs="Tahoma"/>
                <w:sz w:val="18"/>
                <w:szCs w:val="18"/>
              </w:rPr>
            </w:pPr>
          </w:p>
        </w:tc>
        <w:tc>
          <w:tcPr>
            <w:tcW w:w="900" w:type="dxa"/>
          </w:tcPr>
          <w:p w14:paraId="23AB3D42" w14:textId="77777777" w:rsidR="005216E6" w:rsidRPr="004F64EE" w:rsidRDefault="005216E6" w:rsidP="00DF2B45">
            <w:pPr>
              <w:snapToGrid w:val="0"/>
              <w:spacing w:line="220" w:lineRule="exact"/>
              <w:rPr>
                <w:rFonts w:ascii="Tahoma" w:hAnsi="Tahoma" w:cs="Tahoma"/>
                <w:sz w:val="18"/>
                <w:szCs w:val="18"/>
              </w:rPr>
            </w:pPr>
          </w:p>
          <w:p w14:paraId="23AB3D43" w14:textId="77777777" w:rsidR="005216E6" w:rsidRPr="004F64EE" w:rsidRDefault="005216E6" w:rsidP="0036413D">
            <w:pPr>
              <w:snapToGrid w:val="0"/>
              <w:spacing w:line="220" w:lineRule="exact"/>
              <w:jc w:val="center"/>
              <w:rPr>
                <w:rFonts w:ascii="Tahoma" w:hAnsi="Tahoma" w:cs="Tahoma"/>
                <w:sz w:val="18"/>
                <w:szCs w:val="18"/>
              </w:rPr>
            </w:pPr>
            <w:r w:rsidRPr="004F64EE">
              <w:rPr>
                <w:rFonts w:ascii="Tahoma" w:hAnsi="Tahoma" w:cs="Tahoma"/>
                <w:sz w:val="18"/>
                <w:szCs w:val="18"/>
              </w:rPr>
              <w:t>2002</w:t>
            </w:r>
          </w:p>
        </w:tc>
      </w:tr>
      <w:tr w:rsidR="005216E6" w:rsidRPr="00A6779E" w14:paraId="23AB3D4E" w14:textId="77777777" w:rsidTr="009330F6">
        <w:trPr>
          <w:trHeight w:val="1250"/>
        </w:trPr>
        <w:tc>
          <w:tcPr>
            <w:tcW w:w="2790" w:type="dxa"/>
          </w:tcPr>
          <w:p w14:paraId="23AB3D45" w14:textId="77777777" w:rsidR="005216E6" w:rsidRPr="004F64EE" w:rsidRDefault="005216E6" w:rsidP="00EB2EFB">
            <w:pPr>
              <w:snapToGrid w:val="0"/>
              <w:rPr>
                <w:rFonts w:ascii="Tahoma" w:hAnsi="Tahoma" w:cs="Tahoma"/>
                <w:sz w:val="18"/>
                <w:szCs w:val="18"/>
              </w:rPr>
            </w:pPr>
          </w:p>
          <w:p w14:paraId="23AB3D46" w14:textId="77777777" w:rsidR="005216E6" w:rsidRPr="004F64EE" w:rsidRDefault="005216E6" w:rsidP="00EB2EFB">
            <w:pPr>
              <w:snapToGrid w:val="0"/>
              <w:rPr>
                <w:rFonts w:ascii="Tahoma" w:hAnsi="Tahoma" w:cs="Tahoma"/>
                <w:sz w:val="18"/>
                <w:szCs w:val="18"/>
              </w:rPr>
            </w:pPr>
            <w:r w:rsidRPr="004F64EE">
              <w:rPr>
                <w:rFonts w:ascii="Tahoma" w:hAnsi="Tahoma" w:cs="Tahoma"/>
                <w:sz w:val="18"/>
                <w:szCs w:val="18"/>
              </w:rPr>
              <w:t xml:space="preserve">Christopher W. Nolan, Sr.   </w:t>
            </w:r>
          </w:p>
          <w:p w14:paraId="23AB3D47" w14:textId="77777777" w:rsidR="005216E6" w:rsidRPr="004F64EE" w:rsidRDefault="005216E6" w:rsidP="00EB2EFB">
            <w:pPr>
              <w:rPr>
                <w:rFonts w:ascii="Tahoma" w:hAnsi="Tahoma" w:cs="Tahoma"/>
                <w:sz w:val="18"/>
                <w:szCs w:val="18"/>
              </w:rPr>
            </w:pPr>
            <w:r w:rsidRPr="004F64EE">
              <w:rPr>
                <w:rFonts w:ascii="Tahoma" w:hAnsi="Tahoma" w:cs="Tahoma"/>
                <w:sz w:val="18"/>
                <w:szCs w:val="18"/>
              </w:rPr>
              <w:t xml:space="preserve">Director       </w:t>
            </w:r>
          </w:p>
        </w:tc>
        <w:tc>
          <w:tcPr>
            <w:tcW w:w="540" w:type="dxa"/>
          </w:tcPr>
          <w:p w14:paraId="23AB3D48" w14:textId="77777777" w:rsidR="005216E6" w:rsidRPr="004F64EE" w:rsidRDefault="005216E6" w:rsidP="00EB2EFB">
            <w:pPr>
              <w:snapToGrid w:val="0"/>
              <w:jc w:val="center"/>
              <w:rPr>
                <w:rFonts w:ascii="Tahoma" w:hAnsi="Tahoma" w:cs="Tahoma"/>
                <w:sz w:val="18"/>
                <w:szCs w:val="18"/>
              </w:rPr>
            </w:pPr>
          </w:p>
          <w:p w14:paraId="23AB3D49" w14:textId="77777777" w:rsidR="005216E6" w:rsidRPr="004F64EE" w:rsidRDefault="005216E6" w:rsidP="00EB2EFB">
            <w:pPr>
              <w:snapToGrid w:val="0"/>
              <w:jc w:val="center"/>
              <w:rPr>
                <w:rFonts w:ascii="Tahoma" w:hAnsi="Tahoma" w:cs="Tahoma"/>
                <w:sz w:val="18"/>
                <w:szCs w:val="18"/>
              </w:rPr>
            </w:pPr>
            <w:r w:rsidRPr="004F64EE">
              <w:rPr>
                <w:rFonts w:ascii="Tahoma" w:hAnsi="Tahoma" w:cs="Tahoma"/>
                <w:sz w:val="18"/>
                <w:szCs w:val="18"/>
              </w:rPr>
              <w:t>50</w:t>
            </w:r>
          </w:p>
        </w:tc>
        <w:tc>
          <w:tcPr>
            <w:tcW w:w="6300" w:type="dxa"/>
          </w:tcPr>
          <w:p w14:paraId="23AB3D4A" w14:textId="77777777" w:rsidR="005216E6" w:rsidRPr="004F64EE" w:rsidRDefault="005216E6" w:rsidP="00EB2EFB">
            <w:pPr>
              <w:snapToGrid w:val="0"/>
              <w:jc w:val="both"/>
              <w:rPr>
                <w:rFonts w:ascii="Tahoma" w:hAnsi="Tahoma" w:cs="Tahoma"/>
                <w:color w:val="000000"/>
                <w:sz w:val="18"/>
                <w:szCs w:val="18"/>
              </w:rPr>
            </w:pPr>
          </w:p>
          <w:p w14:paraId="23AB3D4B" w14:textId="77777777" w:rsidR="005216E6" w:rsidRPr="004F64EE" w:rsidRDefault="005216E6" w:rsidP="00EB2EFB">
            <w:pPr>
              <w:snapToGrid w:val="0"/>
              <w:jc w:val="both"/>
              <w:rPr>
                <w:rFonts w:ascii="Tahoma" w:hAnsi="Tahoma" w:cs="Tahoma"/>
                <w:color w:val="000000"/>
                <w:sz w:val="18"/>
                <w:szCs w:val="18"/>
              </w:rPr>
            </w:pPr>
            <w:r w:rsidRPr="004F64EE">
              <w:rPr>
                <w:rFonts w:ascii="Tahoma" w:hAnsi="Tahoma" w:cs="Tahoma"/>
                <w:sz w:val="18"/>
                <w:szCs w:val="18"/>
              </w:rPr>
              <w:t xml:space="preserve">Since September 2014, Managing Principal of Cappawhite Advisors LLC, a financial advisory firm providing mergers and acquisitions advice. </w:t>
            </w:r>
            <w:r w:rsidRPr="004F64EE">
              <w:rPr>
                <w:rFonts w:ascii="Tahoma" w:hAnsi="Tahoma" w:cs="Tahoma"/>
                <w:color w:val="000000"/>
                <w:sz w:val="18"/>
                <w:szCs w:val="18"/>
              </w:rPr>
              <w:t xml:space="preserve">Managing Director from March 2006 to September 2014 and Executive Director from 2002 to 2006 in the Mergers &amp; Acquisitions group of Rabo Securities USA, Inc., an affiliate of Rabobank International, New York, NY. He has leadership experience, business experience, a scientific background and education, outside board experience, and is considered “financially sophisticated” under the standards of the </w:t>
            </w:r>
            <w:r w:rsidRPr="004F64EE">
              <w:rPr>
                <w:rFonts w:ascii="Tahoma" w:hAnsi="Tahoma" w:cs="Tahoma"/>
                <w:sz w:val="18"/>
                <w:szCs w:val="18"/>
              </w:rPr>
              <w:t>NASDAQ Stock Market LLC (“NASDAQ”).</w:t>
            </w:r>
            <w:r w:rsidRPr="004F64EE">
              <w:rPr>
                <w:rFonts w:ascii="Tahoma" w:hAnsi="Tahoma" w:cs="Tahoma"/>
                <w:color w:val="000000"/>
                <w:sz w:val="18"/>
                <w:szCs w:val="18"/>
              </w:rPr>
              <w:t xml:space="preserve"> He holds a bachelor’s degree in Chemical Engineering from Lafayette College, and an MBA from Harvard University. (1)</w:t>
            </w:r>
          </w:p>
        </w:tc>
        <w:tc>
          <w:tcPr>
            <w:tcW w:w="900" w:type="dxa"/>
          </w:tcPr>
          <w:p w14:paraId="23AB3D4C" w14:textId="77777777" w:rsidR="005216E6" w:rsidRPr="004F64EE" w:rsidRDefault="005216E6" w:rsidP="00EB2EFB">
            <w:pPr>
              <w:snapToGrid w:val="0"/>
              <w:jc w:val="center"/>
              <w:rPr>
                <w:rFonts w:ascii="Tahoma" w:hAnsi="Tahoma" w:cs="Tahoma"/>
                <w:sz w:val="18"/>
                <w:szCs w:val="18"/>
              </w:rPr>
            </w:pPr>
          </w:p>
          <w:p w14:paraId="23AB3D4D" w14:textId="77777777" w:rsidR="005216E6" w:rsidRPr="004F64EE" w:rsidRDefault="005216E6" w:rsidP="00EB2EFB">
            <w:pPr>
              <w:snapToGrid w:val="0"/>
              <w:jc w:val="center"/>
              <w:rPr>
                <w:rFonts w:ascii="Tahoma" w:hAnsi="Tahoma" w:cs="Tahoma"/>
                <w:sz w:val="18"/>
                <w:szCs w:val="18"/>
              </w:rPr>
            </w:pPr>
            <w:r w:rsidRPr="004F64EE">
              <w:rPr>
                <w:rFonts w:ascii="Tahoma" w:hAnsi="Tahoma" w:cs="Tahoma"/>
                <w:sz w:val="18"/>
                <w:szCs w:val="18"/>
              </w:rPr>
              <w:t>2005</w:t>
            </w:r>
          </w:p>
        </w:tc>
      </w:tr>
    </w:tbl>
    <w:p w14:paraId="23AB3D4F" w14:textId="77777777" w:rsidR="005216E6" w:rsidRPr="004F64EE" w:rsidRDefault="005216E6" w:rsidP="000E4EFF">
      <w:pPr>
        <w:jc w:val="both"/>
        <w:rPr>
          <w:rFonts w:ascii="Tahoma" w:hAnsi="Tahoma" w:cs="Tahoma"/>
          <w:sz w:val="18"/>
          <w:szCs w:val="18"/>
        </w:rPr>
      </w:pPr>
    </w:p>
    <w:p w14:paraId="23AB3D50" w14:textId="77777777" w:rsidR="005216E6" w:rsidRPr="004F64EE" w:rsidRDefault="005216E6" w:rsidP="000E4EFF">
      <w:pPr>
        <w:jc w:val="both"/>
        <w:rPr>
          <w:rFonts w:cs="Arial"/>
          <w:sz w:val="18"/>
          <w:szCs w:val="18"/>
        </w:rPr>
      </w:pPr>
      <w:r w:rsidRPr="004F64EE">
        <w:rPr>
          <w:rFonts w:cs="Arial"/>
          <w:sz w:val="18"/>
          <w:szCs w:val="18"/>
        </w:rPr>
        <w:t>(1)  Member of Audit Committee</w:t>
      </w:r>
    </w:p>
    <w:p w14:paraId="23AB3D51" w14:textId="77777777" w:rsidR="005216E6" w:rsidRPr="004F64EE" w:rsidRDefault="005216E6" w:rsidP="000E4EFF">
      <w:pPr>
        <w:jc w:val="both"/>
        <w:rPr>
          <w:rFonts w:cs="Arial"/>
          <w:sz w:val="18"/>
          <w:szCs w:val="18"/>
        </w:rPr>
      </w:pPr>
      <w:r w:rsidRPr="004F64EE">
        <w:rPr>
          <w:rFonts w:cs="Arial"/>
          <w:sz w:val="18"/>
          <w:szCs w:val="18"/>
        </w:rPr>
        <w:t>(2)  Member of Compensation Committee</w:t>
      </w:r>
    </w:p>
    <w:p w14:paraId="23AB3D52" w14:textId="77777777" w:rsidR="005216E6" w:rsidRDefault="005216E6" w:rsidP="00EB2EFB">
      <w:pPr>
        <w:jc w:val="both"/>
        <w:rPr>
          <w:rFonts w:cs="Arial"/>
          <w:sz w:val="22"/>
          <w:szCs w:val="22"/>
        </w:rPr>
      </w:pPr>
      <w:r>
        <w:rPr>
          <w:rFonts w:cs="Arial"/>
          <w:sz w:val="22"/>
          <w:szCs w:val="22"/>
        </w:rPr>
        <w:t xml:space="preserve">     </w:t>
      </w:r>
    </w:p>
    <w:p w14:paraId="23AB3D53" w14:textId="77777777" w:rsidR="005216E6" w:rsidRPr="004F64EE" w:rsidRDefault="005216E6" w:rsidP="004F64EE">
      <w:pPr>
        <w:ind w:firstLine="720"/>
        <w:jc w:val="both"/>
        <w:rPr>
          <w:rFonts w:cs="Arial"/>
          <w:sz w:val="21"/>
          <w:szCs w:val="21"/>
        </w:rPr>
      </w:pPr>
      <w:r w:rsidRPr="004F64EE">
        <w:rPr>
          <w:rFonts w:cs="Arial"/>
          <w:sz w:val="21"/>
          <w:szCs w:val="21"/>
        </w:rPr>
        <w:t xml:space="preserve">There are no family relationships between any Director and/or Officer of the Company. </w:t>
      </w:r>
    </w:p>
    <w:p w14:paraId="23AB3D54" w14:textId="77777777" w:rsidR="006316B9" w:rsidRDefault="006316B9" w:rsidP="00943AC8">
      <w:pPr>
        <w:spacing w:line="220" w:lineRule="exact"/>
        <w:jc w:val="both"/>
        <w:rPr>
          <w:rFonts w:cs="Arial"/>
          <w:sz w:val="22"/>
          <w:szCs w:val="22"/>
        </w:rPr>
      </w:pPr>
    </w:p>
    <w:p w14:paraId="23AB3D55" w14:textId="77777777" w:rsidR="005216E6" w:rsidRPr="004F64EE" w:rsidRDefault="005216E6" w:rsidP="004F64EE">
      <w:pPr>
        <w:ind w:firstLine="720"/>
        <w:jc w:val="both"/>
        <w:rPr>
          <w:rFonts w:cs="Arial"/>
          <w:sz w:val="21"/>
          <w:szCs w:val="21"/>
        </w:rPr>
      </w:pPr>
      <w:r w:rsidRPr="0036413D">
        <w:rPr>
          <w:rFonts w:cs="Arial"/>
          <w:b/>
          <w:sz w:val="21"/>
          <w:szCs w:val="21"/>
        </w:rPr>
        <w:t xml:space="preserve">The </w:t>
      </w:r>
      <w:r w:rsidR="006F31D2" w:rsidRPr="0036413D">
        <w:rPr>
          <w:rFonts w:cs="Arial"/>
          <w:b/>
          <w:sz w:val="21"/>
          <w:szCs w:val="21"/>
        </w:rPr>
        <w:t>Board</w:t>
      </w:r>
      <w:r w:rsidRPr="0036413D">
        <w:rPr>
          <w:rFonts w:cs="Arial"/>
          <w:b/>
          <w:sz w:val="21"/>
          <w:szCs w:val="21"/>
        </w:rPr>
        <w:t xml:space="preserve"> recommends a vote “FOR” the election of the nominees named for election as directors</w:t>
      </w:r>
      <w:r w:rsidRPr="004F64EE">
        <w:rPr>
          <w:rFonts w:cs="Arial"/>
          <w:sz w:val="21"/>
          <w:szCs w:val="21"/>
        </w:rPr>
        <w:t xml:space="preserve">. </w:t>
      </w:r>
    </w:p>
    <w:p w14:paraId="23AB3D56" w14:textId="77777777" w:rsidR="006316B9" w:rsidRDefault="006316B9" w:rsidP="00EB2EFB">
      <w:pPr>
        <w:keepNext/>
        <w:rPr>
          <w:rFonts w:cs="Arial"/>
          <w:b/>
          <w:sz w:val="22"/>
          <w:szCs w:val="22"/>
        </w:rPr>
      </w:pPr>
    </w:p>
    <w:p w14:paraId="23AB3D57" w14:textId="77777777" w:rsidR="005216E6" w:rsidRDefault="005216E6" w:rsidP="00EB2EFB">
      <w:pPr>
        <w:keepNext/>
        <w:rPr>
          <w:rFonts w:cs="Arial"/>
          <w:b/>
          <w:sz w:val="22"/>
          <w:szCs w:val="22"/>
        </w:rPr>
      </w:pPr>
      <w:r>
        <w:rPr>
          <w:rFonts w:cs="Arial"/>
          <w:b/>
          <w:sz w:val="22"/>
          <w:szCs w:val="22"/>
        </w:rPr>
        <w:t>Executive Officers and Significant Employees</w:t>
      </w:r>
    </w:p>
    <w:p w14:paraId="23AB3D58" w14:textId="77777777" w:rsidR="005216E6" w:rsidRPr="002F58DE" w:rsidRDefault="005216E6" w:rsidP="00EB2EFB">
      <w:pPr>
        <w:keepNext/>
        <w:rPr>
          <w:rFonts w:cs="Arial"/>
          <w:b/>
          <w:sz w:val="22"/>
          <w:szCs w:val="22"/>
        </w:rPr>
      </w:pPr>
    </w:p>
    <w:p w14:paraId="23AB3D59" w14:textId="77777777" w:rsidR="005216E6" w:rsidRPr="004F64EE" w:rsidRDefault="005216E6" w:rsidP="00767CC5">
      <w:pPr>
        <w:keepNext/>
        <w:ind w:firstLine="360"/>
        <w:rPr>
          <w:rFonts w:cs="Arial"/>
          <w:sz w:val="18"/>
          <w:szCs w:val="18"/>
        </w:rPr>
      </w:pPr>
      <w:r w:rsidRPr="004F64EE">
        <w:rPr>
          <w:rFonts w:cs="Arial"/>
          <w:sz w:val="18"/>
          <w:szCs w:val="18"/>
        </w:rPr>
        <w:t>Name and Position</w:t>
      </w:r>
    </w:p>
    <w:p w14:paraId="23AB3D5A" w14:textId="77777777" w:rsidR="005216E6" w:rsidRPr="004F64EE" w:rsidRDefault="005216E6" w:rsidP="00767CC5">
      <w:pPr>
        <w:keepNext/>
        <w:ind w:firstLine="360"/>
        <w:rPr>
          <w:rFonts w:cs="Arial"/>
          <w:sz w:val="18"/>
          <w:szCs w:val="18"/>
        </w:rPr>
      </w:pPr>
      <w:r w:rsidRPr="004F64EE">
        <w:rPr>
          <w:rFonts w:cs="Arial"/>
          <w:sz w:val="18"/>
          <w:szCs w:val="18"/>
          <w:u w:val="single"/>
        </w:rPr>
        <w:t>with the Company</w:t>
      </w:r>
      <w:r w:rsidRPr="004F64EE">
        <w:rPr>
          <w:rFonts w:cs="Arial"/>
          <w:sz w:val="18"/>
          <w:szCs w:val="18"/>
        </w:rPr>
        <w:t xml:space="preserve">    </w:t>
      </w:r>
      <w:r w:rsidR="00A6779E">
        <w:rPr>
          <w:rFonts w:cs="Arial"/>
          <w:sz w:val="18"/>
          <w:szCs w:val="18"/>
        </w:rPr>
        <w:t xml:space="preserve">          </w:t>
      </w:r>
      <w:r w:rsidRPr="004F64EE">
        <w:rPr>
          <w:rFonts w:cs="Arial"/>
          <w:sz w:val="18"/>
          <w:szCs w:val="18"/>
        </w:rPr>
        <w:t xml:space="preserve">       </w:t>
      </w:r>
      <w:r w:rsidRPr="004F64EE">
        <w:rPr>
          <w:rFonts w:cs="Arial"/>
          <w:sz w:val="18"/>
          <w:szCs w:val="18"/>
          <w:u w:val="single"/>
        </w:rPr>
        <w:t>Age</w:t>
      </w:r>
      <w:r w:rsidRPr="004F64EE">
        <w:rPr>
          <w:rFonts w:cs="Arial"/>
          <w:sz w:val="18"/>
          <w:szCs w:val="18"/>
        </w:rPr>
        <w:t xml:space="preserve">                      </w:t>
      </w:r>
      <w:r w:rsidRPr="004F64EE">
        <w:rPr>
          <w:rFonts w:cs="Arial"/>
          <w:sz w:val="18"/>
          <w:szCs w:val="18"/>
          <w:u w:val="single"/>
        </w:rPr>
        <w:t>Principal Occupation During the Past Five Years</w:t>
      </w:r>
      <w:r w:rsidRPr="004F64EE">
        <w:rPr>
          <w:rFonts w:cs="Arial"/>
          <w:sz w:val="18"/>
          <w:szCs w:val="18"/>
        </w:rPr>
        <w:t xml:space="preserve"> </w:t>
      </w:r>
    </w:p>
    <w:p w14:paraId="23AB3D5B" w14:textId="77777777" w:rsidR="005216E6" w:rsidRPr="004F64EE" w:rsidRDefault="005216E6" w:rsidP="00EB2EFB">
      <w:pPr>
        <w:keepNext/>
        <w:spacing w:line="200" w:lineRule="exact"/>
        <w:rPr>
          <w:rFonts w:cs="Arial"/>
          <w:sz w:val="18"/>
          <w:szCs w:val="18"/>
        </w:rPr>
      </w:pPr>
    </w:p>
    <w:tbl>
      <w:tblPr>
        <w:tblW w:w="10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630"/>
        <w:gridCol w:w="7610"/>
      </w:tblGrid>
      <w:tr w:rsidR="005216E6" w:rsidRPr="00A6779E" w14:paraId="23AB3D63" w14:textId="77777777">
        <w:trPr>
          <w:trHeight w:val="1025"/>
        </w:trPr>
        <w:tc>
          <w:tcPr>
            <w:tcW w:w="2610" w:type="dxa"/>
          </w:tcPr>
          <w:p w14:paraId="23AB3D5C" w14:textId="77777777" w:rsidR="005216E6" w:rsidRPr="004F64EE" w:rsidRDefault="005216E6" w:rsidP="00EB2EFB">
            <w:pPr>
              <w:snapToGrid w:val="0"/>
              <w:spacing w:line="220" w:lineRule="exact"/>
              <w:rPr>
                <w:rFonts w:cs="Arial"/>
                <w:sz w:val="18"/>
                <w:szCs w:val="18"/>
              </w:rPr>
            </w:pPr>
          </w:p>
          <w:p w14:paraId="23AB3D5D" w14:textId="77777777" w:rsidR="005216E6" w:rsidRPr="004F64EE" w:rsidRDefault="005216E6" w:rsidP="00EB2EFB">
            <w:pPr>
              <w:snapToGrid w:val="0"/>
              <w:spacing w:line="220" w:lineRule="exact"/>
              <w:rPr>
                <w:rFonts w:cs="Arial"/>
                <w:sz w:val="18"/>
                <w:szCs w:val="18"/>
              </w:rPr>
            </w:pPr>
            <w:r w:rsidRPr="004F64EE">
              <w:rPr>
                <w:rFonts w:cs="Arial"/>
                <w:sz w:val="18"/>
                <w:szCs w:val="18"/>
              </w:rPr>
              <w:t>Kenneth H. Globus</w:t>
            </w:r>
          </w:p>
          <w:p w14:paraId="23AB3D5E" w14:textId="77777777" w:rsidR="005216E6" w:rsidRPr="004F64EE" w:rsidRDefault="005216E6" w:rsidP="00EB2EFB">
            <w:pPr>
              <w:spacing w:line="220" w:lineRule="exact"/>
              <w:rPr>
                <w:rFonts w:cs="Arial"/>
                <w:sz w:val="18"/>
                <w:szCs w:val="18"/>
              </w:rPr>
            </w:pPr>
            <w:r w:rsidRPr="004F64EE">
              <w:rPr>
                <w:rFonts w:cs="Arial"/>
                <w:sz w:val="18"/>
                <w:szCs w:val="18"/>
              </w:rPr>
              <w:t xml:space="preserve">President, General Counsel and Chairman of the </w:t>
            </w:r>
            <w:r w:rsidR="006F31D2" w:rsidRPr="004F64EE">
              <w:rPr>
                <w:rFonts w:cs="Arial"/>
                <w:sz w:val="18"/>
                <w:szCs w:val="18"/>
              </w:rPr>
              <w:t>Board</w:t>
            </w:r>
            <w:r w:rsidRPr="004F64EE">
              <w:rPr>
                <w:rFonts w:cs="Arial"/>
                <w:sz w:val="18"/>
                <w:szCs w:val="18"/>
              </w:rPr>
              <w:t xml:space="preserve"> </w:t>
            </w:r>
          </w:p>
        </w:tc>
        <w:tc>
          <w:tcPr>
            <w:tcW w:w="630" w:type="dxa"/>
          </w:tcPr>
          <w:p w14:paraId="23AB3D5F" w14:textId="77777777" w:rsidR="005216E6" w:rsidRPr="004F64EE" w:rsidRDefault="005216E6" w:rsidP="00EB2EFB">
            <w:pPr>
              <w:snapToGrid w:val="0"/>
              <w:spacing w:line="220" w:lineRule="exact"/>
              <w:jc w:val="center"/>
              <w:rPr>
                <w:rFonts w:cs="Arial"/>
                <w:sz w:val="18"/>
                <w:szCs w:val="18"/>
              </w:rPr>
            </w:pPr>
          </w:p>
          <w:p w14:paraId="23AB3D60" w14:textId="77777777" w:rsidR="005216E6" w:rsidRPr="004F64EE" w:rsidRDefault="005216E6" w:rsidP="00EB2EFB">
            <w:pPr>
              <w:snapToGrid w:val="0"/>
              <w:spacing w:line="220" w:lineRule="exact"/>
              <w:jc w:val="center"/>
              <w:rPr>
                <w:rFonts w:cs="Arial"/>
                <w:sz w:val="18"/>
                <w:szCs w:val="18"/>
              </w:rPr>
            </w:pPr>
            <w:r w:rsidRPr="004F64EE">
              <w:rPr>
                <w:rFonts w:cs="Arial"/>
                <w:sz w:val="18"/>
                <w:szCs w:val="18"/>
              </w:rPr>
              <w:t>63</w:t>
            </w:r>
          </w:p>
        </w:tc>
        <w:tc>
          <w:tcPr>
            <w:tcW w:w="7610" w:type="dxa"/>
          </w:tcPr>
          <w:p w14:paraId="23AB3D61" w14:textId="77777777" w:rsidR="005216E6" w:rsidRPr="004F64EE" w:rsidRDefault="005216E6" w:rsidP="00EB2EFB">
            <w:pPr>
              <w:snapToGrid w:val="0"/>
              <w:spacing w:line="220" w:lineRule="exact"/>
              <w:jc w:val="both"/>
              <w:rPr>
                <w:rFonts w:cs="Arial"/>
                <w:sz w:val="18"/>
                <w:szCs w:val="18"/>
              </w:rPr>
            </w:pPr>
          </w:p>
          <w:p w14:paraId="23AB3D62" w14:textId="77777777" w:rsidR="005216E6" w:rsidRPr="004F64EE" w:rsidRDefault="005216E6" w:rsidP="000D66D9">
            <w:pPr>
              <w:snapToGrid w:val="0"/>
              <w:spacing w:line="220" w:lineRule="exact"/>
              <w:jc w:val="both"/>
              <w:rPr>
                <w:rFonts w:cs="Arial"/>
                <w:sz w:val="18"/>
                <w:szCs w:val="18"/>
              </w:rPr>
            </w:pPr>
            <w:r w:rsidRPr="004F64EE">
              <w:rPr>
                <w:rFonts w:cs="Arial"/>
                <w:sz w:val="18"/>
                <w:szCs w:val="18"/>
              </w:rPr>
              <w:t xml:space="preserve">From July 1988 to date, President and General Counsel of the Company. Chairman of the </w:t>
            </w:r>
            <w:r w:rsidR="006F31D2" w:rsidRPr="004F64EE">
              <w:rPr>
                <w:rFonts w:cs="Arial"/>
                <w:sz w:val="18"/>
                <w:szCs w:val="18"/>
              </w:rPr>
              <w:t>Board</w:t>
            </w:r>
            <w:r w:rsidRPr="004F64EE">
              <w:rPr>
                <w:rFonts w:cs="Arial"/>
                <w:sz w:val="18"/>
                <w:szCs w:val="18"/>
              </w:rPr>
              <w:t xml:space="preserve"> and Principal Executive Officer since September 2009. Chief Financial Officer of the Company from November 1997 to December 2006.</w:t>
            </w:r>
          </w:p>
        </w:tc>
      </w:tr>
      <w:tr w:rsidR="005216E6" w:rsidRPr="00A6779E" w14:paraId="23AB3D6B" w14:textId="77777777" w:rsidTr="004F64EE">
        <w:trPr>
          <w:trHeight w:val="1160"/>
        </w:trPr>
        <w:tc>
          <w:tcPr>
            <w:tcW w:w="2610" w:type="dxa"/>
          </w:tcPr>
          <w:p w14:paraId="23AB3D64" w14:textId="77777777" w:rsidR="005216E6" w:rsidRPr="004F64EE" w:rsidRDefault="005216E6" w:rsidP="00EB2EFB">
            <w:pPr>
              <w:snapToGrid w:val="0"/>
              <w:spacing w:line="220" w:lineRule="exact"/>
              <w:rPr>
                <w:rFonts w:cs="Arial"/>
                <w:sz w:val="18"/>
                <w:szCs w:val="18"/>
              </w:rPr>
            </w:pPr>
          </w:p>
          <w:p w14:paraId="23AB3D65" w14:textId="77777777" w:rsidR="005216E6" w:rsidRPr="004F64EE" w:rsidRDefault="005216E6" w:rsidP="00EB2EFB">
            <w:pPr>
              <w:snapToGrid w:val="0"/>
              <w:spacing w:line="220" w:lineRule="exact"/>
              <w:rPr>
                <w:rFonts w:cs="Arial"/>
                <w:sz w:val="18"/>
                <w:szCs w:val="18"/>
              </w:rPr>
            </w:pPr>
            <w:r w:rsidRPr="004F64EE">
              <w:rPr>
                <w:rFonts w:cs="Arial"/>
                <w:sz w:val="18"/>
                <w:szCs w:val="18"/>
              </w:rPr>
              <w:t>Robert S. Rubinger</w:t>
            </w:r>
          </w:p>
          <w:p w14:paraId="23AB3D66" w14:textId="77777777" w:rsidR="005216E6" w:rsidRPr="004F64EE" w:rsidRDefault="005216E6" w:rsidP="00EB2EFB">
            <w:pPr>
              <w:spacing w:line="220" w:lineRule="exact"/>
              <w:rPr>
                <w:rFonts w:cs="Arial"/>
                <w:sz w:val="18"/>
                <w:szCs w:val="18"/>
              </w:rPr>
            </w:pPr>
            <w:r w:rsidRPr="004F64EE">
              <w:rPr>
                <w:rFonts w:cs="Arial"/>
                <w:sz w:val="18"/>
                <w:szCs w:val="18"/>
              </w:rPr>
              <w:t>Executive Vice President, Secretary, Treasurer, Chief Financial Officer and Director</w:t>
            </w:r>
          </w:p>
        </w:tc>
        <w:tc>
          <w:tcPr>
            <w:tcW w:w="630" w:type="dxa"/>
          </w:tcPr>
          <w:p w14:paraId="23AB3D67" w14:textId="77777777" w:rsidR="005216E6" w:rsidRPr="004F64EE" w:rsidRDefault="005216E6" w:rsidP="00EB2EFB">
            <w:pPr>
              <w:snapToGrid w:val="0"/>
              <w:spacing w:line="220" w:lineRule="exact"/>
              <w:jc w:val="center"/>
              <w:rPr>
                <w:rFonts w:cs="Arial"/>
                <w:sz w:val="18"/>
                <w:szCs w:val="18"/>
              </w:rPr>
            </w:pPr>
          </w:p>
          <w:p w14:paraId="23AB3D68" w14:textId="77777777" w:rsidR="005216E6" w:rsidRPr="004F64EE" w:rsidRDefault="005216E6" w:rsidP="00EB2EFB">
            <w:pPr>
              <w:snapToGrid w:val="0"/>
              <w:spacing w:line="220" w:lineRule="exact"/>
              <w:jc w:val="center"/>
              <w:rPr>
                <w:rFonts w:cs="Arial"/>
                <w:sz w:val="18"/>
                <w:szCs w:val="18"/>
              </w:rPr>
            </w:pPr>
            <w:r w:rsidRPr="004F64EE">
              <w:rPr>
                <w:rFonts w:cs="Arial"/>
                <w:sz w:val="18"/>
                <w:szCs w:val="18"/>
              </w:rPr>
              <w:t>72</w:t>
            </w:r>
          </w:p>
        </w:tc>
        <w:tc>
          <w:tcPr>
            <w:tcW w:w="7610" w:type="dxa"/>
          </w:tcPr>
          <w:p w14:paraId="23AB3D69" w14:textId="77777777" w:rsidR="005216E6" w:rsidRPr="004F64EE" w:rsidRDefault="005216E6" w:rsidP="00EB2EFB">
            <w:pPr>
              <w:snapToGrid w:val="0"/>
              <w:spacing w:line="220" w:lineRule="exact"/>
              <w:jc w:val="both"/>
              <w:rPr>
                <w:rFonts w:cs="Arial"/>
                <w:sz w:val="18"/>
                <w:szCs w:val="18"/>
              </w:rPr>
            </w:pPr>
          </w:p>
          <w:p w14:paraId="23AB3D6A" w14:textId="77777777" w:rsidR="005216E6" w:rsidRPr="004F64EE" w:rsidRDefault="005216E6" w:rsidP="00EB2EFB">
            <w:pPr>
              <w:snapToGrid w:val="0"/>
              <w:spacing w:line="220" w:lineRule="exact"/>
              <w:jc w:val="both"/>
              <w:rPr>
                <w:rFonts w:cs="Arial"/>
                <w:sz w:val="18"/>
                <w:szCs w:val="18"/>
              </w:rPr>
            </w:pPr>
            <w:r w:rsidRPr="004F64EE">
              <w:rPr>
                <w:rFonts w:cs="Arial"/>
                <w:sz w:val="18"/>
                <w:szCs w:val="18"/>
              </w:rPr>
              <w:t>From July 1988 to date, Executive Vice President and Secretary of the Company. Treasurer of the Company since May 2010 and previously from May 1994 to May 2004. Chief Financial Officer of the Company from December 2006 to date.</w:t>
            </w:r>
          </w:p>
        </w:tc>
      </w:tr>
      <w:tr w:rsidR="005216E6" w:rsidRPr="00A6779E" w14:paraId="23AB3D73" w14:textId="77777777">
        <w:tc>
          <w:tcPr>
            <w:tcW w:w="2610" w:type="dxa"/>
          </w:tcPr>
          <w:p w14:paraId="23AB3D6C" w14:textId="77777777" w:rsidR="005216E6" w:rsidRPr="004F64EE" w:rsidRDefault="005216E6" w:rsidP="00EB2EFB">
            <w:pPr>
              <w:snapToGrid w:val="0"/>
              <w:spacing w:line="220" w:lineRule="exact"/>
              <w:rPr>
                <w:rFonts w:cs="Arial"/>
                <w:sz w:val="18"/>
                <w:szCs w:val="18"/>
              </w:rPr>
            </w:pPr>
          </w:p>
          <w:p w14:paraId="23AB3D6D" w14:textId="77777777" w:rsidR="005216E6" w:rsidRPr="004F64EE" w:rsidRDefault="005216E6" w:rsidP="00EB2EFB">
            <w:pPr>
              <w:snapToGrid w:val="0"/>
              <w:spacing w:line="220" w:lineRule="exact"/>
              <w:rPr>
                <w:rFonts w:cs="Arial"/>
                <w:sz w:val="18"/>
                <w:szCs w:val="18"/>
              </w:rPr>
            </w:pPr>
            <w:r w:rsidRPr="004F64EE">
              <w:rPr>
                <w:rFonts w:cs="Arial"/>
                <w:sz w:val="18"/>
                <w:szCs w:val="18"/>
              </w:rPr>
              <w:t>Joseph J. Vernice</w:t>
            </w:r>
          </w:p>
          <w:p w14:paraId="23AB3D6E" w14:textId="77777777" w:rsidR="005216E6" w:rsidRPr="004F64EE" w:rsidRDefault="005216E6" w:rsidP="00EB2EFB">
            <w:pPr>
              <w:spacing w:line="220" w:lineRule="exact"/>
              <w:rPr>
                <w:rFonts w:cs="Arial"/>
                <w:sz w:val="18"/>
                <w:szCs w:val="18"/>
              </w:rPr>
            </w:pPr>
            <w:r w:rsidRPr="004F64EE">
              <w:rPr>
                <w:rFonts w:cs="Arial"/>
                <w:sz w:val="18"/>
                <w:szCs w:val="18"/>
              </w:rPr>
              <w:t>Vice President</w:t>
            </w:r>
          </w:p>
        </w:tc>
        <w:tc>
          <w:tcPr>
            <w:tcW w:w="630" w:type="dxa"/>
          </w:tcPr>
          <w:p w14:paraId="23AB3D6F" w14:textId="77777777" w:rsidR="005216E6" w:rsidRPr="004F64EE" w:rsidRDefault="005216E6" w:rsidP="00EB2EFB">
            <w:pPr>
              <w:snapToGrid w:val="0"/>
              <w:spacing w:line="220" w:lineRule="exact"/>
              <w:jc w:val="center"/>
              <w:rPr>
                <w:rFonts w:cs="Arial"/>
                <w:sz w:val="18"/>
                <w:szCs w:val="18"/>
              </w:rPr>
            </w:pPr>
          </w:p>
          <w:p w14:paraId="23AB3D70" w14:textId="77777777" w:rsidR="005216E6" w:rsidRPr="004F64EE" w:rsidRDefault="005216E6" w:rsidP="00EB2EFB">
            <w:pPr>
              <w:snapToGrid w:val="0"/>
              <w:spacing w:line="220" w:lineRule="exact"/>
              <w:jc w:val="center"/>
              <w:rPr>
                <w:rFonts w:cs="Arial"/>
                <w:sz w:val="18"/>
                <w:szCs w:val="18"/>
              </w:rPr>
            </w:pPr>
            <w:r w:rsidRPr="004F64EE">
              <w:rPr>
                <w:rFonts w:cs="Arial"/>
                <w:sz w:val="18"/>
                <w:szCs w:val="18"/>
              </w:rPr>
              <w:t>57</w:t>
            </w:r>
          </w:p>
        </w:tc>
        <w:tc>
          <w:tcPr>
            <w:tcW w:w="7610" w:type="dxa"/>
          </w:tcPr>
          <w:p w14:paraId="23AB3D71" w14:textId="77777777" w:rsidR="005216E6" w:rsidRPr="004F64EE" w:rsidRDefault="005216E6" w:rsidP="00EB2EFB">
            <w:pPr>
              <w:snapToGrid w:val="0"/>
              <w:spacing w:line="220" w:lineRule="exact"/>
              <w:jc w:val="both"/>
              <w:rPr>
                <w:rFonts w:cs="Arial"/>
                <w:sz w:val="18"/>
                <w:szCs w:val="18"/>
              </w:rPr>
            </w:pPr>
          </w:p>
          <w:p w14:paraId="23AB3D72" w14:textId="77777777" w:rsidR="005216E6" w:rsidRPr="004F64EE" w:rsidRDefault="005216E6" w:rsidP="00EB2EFB">
            <w:pPr>
              <w:snapToGrid w:val="0"/>
              <w:spacing w:line="220" w:lineRule="exact"/>
              <w:jc w:val="both"/>
              <w:rPr>
                <w:rFonts w:cs="Arial"/>
                <w:sz w:val="18"/>
                <w:szCs w:val="18"/>
              </w:rPr>
            </w:pPr>
            <w:r w:rsidRPr="004F64EE">
              <w:rPr>
                <w:rFonts w:cs="Arial"/>
                <w:sz w:val="18"/>
                <w:szCs w:val="18"/>
              </w:rPr>
              <w:t xml:space="preserve">From February 1995 to date, Vice President of the Company. Since 1988 Manager of Research &amp; Development of the Company and since 1991 Director of Technical Services of the Company.  </w:t>
            </w:r>
          </w:p>
        </w:tc>
      </w:tr>
      <w:tr w:rsidR="005216E6" w:rsidRPr="00A6779E" w14:paraId="23AB3D7B" w14:textId="77777777">
        <w:trPr>
          <w:trHeight w:val="719"/>
        </w:trPr>
        <w:tc>
          <w:tcPr>
            <w:tcW w:w="2610" w:type="dxa"/>
          </w:tcPr>
          <w:p w14:paraId="23AB3D74" w14:textId="77777777" w:rsidR="005216E6" w:rsidRPr="004F64EE" w:rsidRDefault="005216E6" w:rsidP="00EB2EFB">
            <w:pPr>
              <w:snapToGrid w:val="0"/>
              <w:spacing w:line="220" w:lineRule="exact"/>
              <w:rPr>
                <w:rFonts w:cs="Arial"/>
                <w:sz w:val="18"/>
                <w:szCs w:val="18"/>
              </w:rPr>
            </w:pPr>
          </w:p>
          <w:p w14:paraId="23AB3D75" w14:textId="77777777" w:rsidR="005216E6" w:rsidRPr="004F64EE" w:rsidRDefault="005216E6" w:rsidP="00EB2EFB">
            <w:pPr>
              <w:snapToGrid w:val="0"/>
              <w:spacing w:line="220" w:lineRule="exact"/>
              <w:rPr>
                <w:rFonts w:cs="Arial"/>
                <w:sz w:val="18"/>
                <w:szCs w:val="18"/>
              </w:rPr>
            </w:pPr>
            <w:r w:rsidRPr="004F64EE">
              <w:rPr>
                <w:rFonts w:cs="Arial"/>
                <w:sz w:val="18"/>
                <w:szCs w:val="18"/>
              </w:rPr>
              <w:t>Peter A. Hiltunen</w:t>
            </w:r>
          </w:p>
          <w:p w14:paraId="23AB3D76" w14:textId="77777777" w:rsidR="005216E6" w:rsidRPr="004F64EE" w:rsidRDefault="005216E6" w:rsidP="00EB2EFB">
            <w:pPr>
              <w:spacing w:line="220" w:lineRule="exact"/>
              <w:rPr>
                <w:rFonts w:cs="Arial"/>
                <w:sz w:val="18"/>
                <w:szCs w:val="18"/>
              </w:rPr>
            </w:pPr>
            <w:r w:rsidRPr="004F64EE">
              <w:rPr>
                <w:rFonts w:cs="Arial"/>
                <w:sz w:val="18"/>
                <w:szCs w:val="18"/>
              </w:rPr>
              <w:t>Vice President</w:t>
            </w:r>
          </w:p>
        </w:tc>
        <w:tc>
          <w:tcPr>
            <w:tcW w:w="630" w:type="dxa"/>
          </w:tcPr>
          <w:p w14:paraId="23AB3D77" w14:textId="77777777" w:rsidR="005216E6" w:rsidRPr="004F64EE" w:rsidRDefault="005216E6" w:rsidP="000D66D9">
            <w:pPr>
              <w:tabs>
                <w:tab w:val="center" w:pos="207"/>
              </w:tabs>
              <w:snapToGrid w:val="0"/>
              <w:spacing w:line="220" w:lineRule="exact"/>
              <w:rPr>
                <w:rFonts w:cs="Arial"/>
                <w:sz w:val="18"/>
                <w:szCs w:val="18"/>
              </w:rPr>
            </w:pPr>
          </w:p>
          <w:p w14:paraId="23AB3D78" w14:textId="77777777" w:rsidR="005216E6" w:rsidRPr="004F64EE" w:rsidRDefault="005216E6" w:rsidP="000D66D9">
            <w:pPr>
              <w:tabs>
                <w:tab w:val="center" w:pos="207"/>
              </w:tabs>
              <w:snapToGrid w:val="0"/>
              <w:spacing w:line="220" w:lineRule="exact"/>
              <w:rPr>
                <w:rFonts w:cs="Arial"/>
                <w:sz w:val="18"/>
                <w:szCs w:val="18"/>
              </w:rPr>
            </w:pPr>
            <w:r w:rsidRPr="004F64EE">
              <w:rPr>
                <w:rFonts w:cs="Arial"/>
                <w:sz w:val="18"/>
                <w:szCs w:val="18"/>
              </w:rPr>
              <w:tab/>
              <w:t>56</w:t>
            </w:r>
          </w:p>
        </w:tc>
        <w:tc>
          <w:tcPr>
            <w:tcW w:w="7610" w:type="dxa"/>
          </w:tcPr>
          <w:p w14:paraId="23AB3D79" w14:textId="77777777" w:rsidR="005216E6" w:rsidRPr="004F64EE" w:rsidRDefault="005216E6" w:rsidP="00EB2EFB">
            <w:pPr>
              <w:snapToGrid w:val="0"/>
              <w:spacing w:line="220" w:lineRule="exact"/>
              <w:jc w:val="both"/>
              <w:rPr>
                <w:rFonts w:cs="Arial"/>
                <w:sz w:val="18"/>
                <w:szCs w:val="18"/>
              </w:rPr>
            </w:pPr>
          </w:p>
          <w:p w14:paraId="23AB3D7A" w14:textId="77777777" w:rsidR="005216E6" w:rsidRPr="004F64EE" w:rsidRDefault="005216E6" w:rsidP="00EB2EFB">
            <w:pPr>
              <w:snapToGrid w:val="0"/>
              <w:spacing w:line="220" w:lineRule="exact"/>
              <w:jc w:val="both"/>
              <w:rPr>
                <w:rFonts w:cs="Arial"/>
                <w:sz w:val="18"/>
                <w:szCs w:val="18"/>
              </w:rPr>
            </w:pPr>
            <w:r w:rsidRPr="004F64EE">
              <w:rPr>
                <w:rFonts w:cs="Arial"/>
                <w:sz w:val="18"/>
                <w:szCs w:val="18"/>
              </w:rPr>
              <w:t xml:space="preserve">From July 2002 to date, Vice President of the Company. Since 1982 Production Manager of the Company. </w:t>
            </w:r>
          </w:p>
        </w:tc>
      </w:tr>
      <w:tr w:rsidR="005216E6" w:rsidRPr="00A6779E" w14:paraId="23AB3D83" w14:textId="77777777">
        <w:trPr>
          <w:trHeight w:val="755"/>
        </w:trPr>
        <w:tc>
          <w:tcPr>
            <w:tcW w:w="2610" w:type="dxa"/>
          </w:tcPr>
          <w:p w14:paraId="23AB3D7C" w14:textId="77777777" w:rsidR="005216E6" w:rsidRPr="004F64EE" w:rsidRDefault="005216E6" w:rsidP="00EB2EFB">
            <w:pPr>
              <w:snapToGrid w:val="0"/>
              <w:spacing w:line="220" w:lineRule="exact"/>
              <w:rPr>
                <w:rFonts w:cs="Arial"/>
                <w:sz w:val="18"/>
                <w:szCs w:val="18"/>
              </w:rPr>
            </w:pPr>
          </w:p>
          <w:p w14:paraId="23AB3D7D" w14:textId="77777777" w:rsidR="005216E6" w:rsidRPr="004F64EE" w:rsidRDefault="005216E6" w:rsidP="00EB2EFB">
            <w:pPr>
              <w:snapToGrid w:val="0"/>
              <w:spacing w:line="220" w:lineRule="exact"/>
              <w:rPr>
                <w:rFonts w:cs="Arial"/>
                <w:sz w:val="18"/>
                <w:szCs w:val="18"/>
              </w:rPr>
            </w:pPr>
            <w:r w:rsidRPr="004F64EE">
              <w:rPr>
                <w:rFonts w:cs="Arial"/>
                <w:sz w:val="18"/>
                <w:szCs w:val="18"/>
              </w:rPr>
              <w:t>Roseann LaCorte</w:t>
            </w:r>
          </w:p>
          <w:p w14:paraId="23AB3D7E" w14:textId="77777777" w:rsidR="005216E6" w:rsidRPr="004F64EE" w:rsidRDefault="005216E6" w:rsidP="00EB2EFB">
            <w:pPr>
              <w:snapToGrid w:val="0"/>
              <w:spacing w:line="220" w:lineRule="exact"/>
              <w:rPr>
                <w:rFonts w:cs="Arial"/>
                <w:sz w:val="18"/>
                <w:szCs w:val="18"/>
              </w:rPr>
            </w:pPr>
            <w:r w:rsidRPr="004F64EE">
              <w:rPr>
                <w:rFonts w:cs="Arial"/>
                <w:sz w:val="18"/>
                <w:szCs w:val="18"/>
              </w:rPr>
              <w:t>Controller</w:t>
            </w:r>
          </w:p>
        </w:tc>
        <w:tc>
          <w:tcPr>
            <w:tcW w:w="630" w:type="dxa"/>
          </w:tcPr>
          <w:p w14:paraId="23AB3D7F" w14:textId="77777777" w:rsidR="005216E6" w:rsidRPr="004F64EE" w:rsidRDefault="005216E6" w:rsidP="00EB2EFB">
            <w:pPr>
              <w:snapToGrid w:val="0"/>
              <w:spacing w:line="220" w:lineRule="exact"/>
              <w:jc w:val="center"/>
              <w:rPr>
                <w:rFonts w:cs="Arial"/>
                <w:sz w:val="18"/>
                <w:szCs w:val="18"/>
              </w:rPr>
            </w:pPr>
          </w:p>
          <w:p w14:paraId="23AB3D80" w14:textId="77777777" w:rsidR="005216E6" w:rsidRPr="004F64EE" w:rsidRDefault="005216E6" w:rsidP="00EB2EFB">
            <w:pPr>
              <w:snapToGrid w:val="0"/>
              <w:spacing w:line="220" w:lineRule="exact"/>
              <w:jc w:val="center"/>
              <w:rPr>
                <w:rFonts w:cs="Arial"/>
                <w:sz w:val="18"/>
                <w:szCs w:val="18"/>
              </w:rPr>
            </w:pPr>
            <w:r w:rsidRPr="004F64EE">
              <w:rPr>
                <w:rFonts w:cs="Arial"/>
                <w:sz w:val="18"/>
                <w:szCs w:val="18"/>
              </w:rPr>
              <w:t>48</w:t>
            </w:r>
          </w:p>
        </w:tc>
        <w:tc>
          <w:tcPr>
            <w:tcW w:w="7610" w:type="dxa"/>
          </w:tcPr>
          <w:p w14:paraId="23AB3D81" w14:textId="77777777" w:rsidR="005216E6" w:rsidRPr="004F64EE" w:rsidRDefault="005216E6" w:rsidP="00EB2EFB">
            <w:pPr>
              <w:snapToGrid w:val="0"/>
              <w:spacing w:line="220" w:lineRule="exact"/>
              <w:jc w:val="both"/>
              <w:rPr>
                <w:rFonts w:cs="Arial"/>
                <w:sz w:val="18"/>
                <w:szCs w:val="18"/>
              </w:rPr>
            </w:pPr>
          </w:p>
          <w:p w14:paraId="23AB3D82" w14:textId="77777777" w:rsidR="005216E6" w:rsidRPr="004F64EE" w:rsidRDefault="005216E6" w:rsidP="00EB2EFB">
            <w:pPr>
              <w:snapToGrid w:val="0"/>
              <w:spacing w:line="220" w:lineRule="exact"/>
              <w:jc w:val="both"/>
              <w:rPr>
                <w:rFonts w:cs="Arial"/>
                <w:sz w:val="18"/>
                <w:szCs w:val="18"/>
              </w:rPr>
            </w:pPr>
            <w:r w:rsidRPr="004F64EE">
              <w:rPr>
                <w:rFonts w:cs="Arial"/>
                <w:sz w:val="18"/>
                <w:szCs w:val="18"/>
              </w:rPr>
              <w:t>From August 2010 to date, Controller and Accounting Manager of the Company. From June 2006 to July 2010 Asst. Controller of VS Management, Inc., Ronkonkoma, NY, a human resource benefits outsourcing company, and for more than 2 years prior thereto Senior Accountant for Estee Lauder Companies, Melville, NY, a major manufacturer of cosmetic products.</w:t>
            </w:r>
          </w:p>
        </w:tc>
      </w:tr>
    </w:tbl>
    <w:p w14:paraId="23AB3D84" w14:textId="77777777" w:rsidR="005216E6" w:rsidRDefault="005216E6" w:rsidP="00EB2EFB">
      <w:pPr>
        <w:keepNext/>
        <w:jc w:val="both"/>
        <w:rPr>
          <w:rFonts w:cs="Arial"/>
          <w:b/>
          <w:sz w:val="22"/>
          <w:szCs w:val="22"/>
        </w:rPr>
      </w:pPr>
    </w:p>
    <w:p w14:paraId="23AB3D85" w14:textId="77777777" w:rsidR="004F64EE" w:rsidRDefault="004F64EE" w:rsidP="00EB2EFB">
      <w:pPr>
        <w:keepNext/>
        <w:jc w:val="both"/>
        <w:rPr>
          <w:rFonts w:cs="Arial"/>
          <w:b/>
          <w:sz w:val="22"/>
          <w:szCs w:val="22"/>
        </w:rPr>
      </w:pPr>
    </w:p>
    <w:p w14:paraId="23AB3D86" w14:textId="77777777" w:rsidR="005216E6" w:rsidRPr="0074231C" w:rsidRDefault="005216E6" w:rsidP="00EB2EFB">
      <w:pPr>
        <w:keepNext/>
        <w:jc w:val="both"/>
        <w:rPr>
          <w:rFonts w:cs="Arial"/>
          <w:b/>
          <w:sz w:val="22"/>
          <w:szCs w:val="22"/>
        </w:rPr>
      </w:pPr>
      <w:r>
        <w:rPr>
          <w:rFonts w:cs="Arial"/>
          <w:b/>
          <w:sz w:val="22"/>
          <w:szCs w:val="22"/>
        </w:rPr>
        <w:t xml:space="preserve">Board </w:t>
      </w:r>
      <w:r w:rsidRPr="0074231C">
        <w:rPr>
          <w:rFonts w:cs="Arial"/>
          <w:b/>
          <w:sz w:val="22"/>
          <w:szCs w:val="22"/>
        </w:rPr>
        <w:t xml:space="preserve">Leadership Structure </w:t>
      </w:r>
    </w:p>
    <w:p w14:paraId="23AB3D87" w14:textId="77777777" w:rsidR="005216E6" w:rsidRPr="0074231C" w:rsidRDefault="005216E6" w:rsidP="00EB2EFB">
      <w:pPr>
        <w:keepNext/>
        <w:jc w:val="both"/>
        <w:rPr>
          <w:rFonts w:cs="Arial"/>
          <w:sz w:val="22"/>
          <w:szCs w:val="22"/>
        </w:rPr>
      </w:pPr>
    </w:p>
    <w:p w14:paraId="23AB3D88" w14:textId="77777777" w:rsidR="005216E6" w:rsidRPr="004F64EE" w:rsidRDefault="005216E6" w:rsidP="00EB2EFB">
      <w:pPr>
        <w:keepNext/>
        <w:jc w:val="both"/>
        <w:rPr>
          <w:sz w:val="21"/>
          <w:szCs w:val="21"/>
        </w:rPr>
      </w:pPr>
      <w:r w:rsidRPr="004F64EE">
        <w:rPr>
          <w:sz w:val="21"/>
          <w:szCs w:val="21"/>
        </w:rPr>
        <w:t xml:space="preserve">     </w:t>
      </w:r>
      <w:r w:rsidRPr="004F64EE">
        <w:rPr>
          <w:sz w:val="21"/>
          <w:szCs w:val="21"/>
        </w:rPr>
        <w:tab/>
        <w:t>The Company is led by Kenneth H. Globus, who has served as President since 1988 and Chairman of the Board since September 2009. The Board is composed of Mr. Kenneth Globus, one other non-independent director, and four independent directors. The Board has two standing committees comprised solely of independent directors, the Audit Committee and the Compensation Committee. The Board also has a Stock Option Committee. Only the Audit Committee has a chairman. The Board does not have a lead director as all of the independent directors have a strong knowledge of Company operations and have held leadership positions in their respective employment, both past and present. The independent directors meet in executive session at least twice per year in accordance with NASDAQ guidelines. The Company has had this same basic leadership structure since it was founded in 1942, except that the committees were not established until the 1990s. The Board believes that this leadership structure has been effective for the Company considering its size and its resources, and similar leadership structures are commonly utilized by other small public companies in the United States.</w:t>
      </w:r>
    </w:p>
    <w:p w14:paraId="23AB3D89" w14:textId="77777777" w:rsidR="005216E6" w:rsidRDefault="005216E6" w:rsidP="00EB2EFB">
      <w:pPr>
        <w:keepNext/>
        <w:jc w:val="both"/>
        <w:rPr>
          <w:rFonts w:cs="Arial"/>
          <w:b/>
          <w:sz w:val="22"/>
          <w:szCs w:val="22"/>
        </w:rPr>
      </w:pPr>
    </w:p>
    <w:p w14:paraId="23AB3D8A" w14:textId="77777777" w:rsidR="005216E6" w:rsidRPr="00D00415" w:rsidRDefault="005216E6" w:rsidP="00DB1483">
      <w:pPr>
        <w:keepNext/>
        <w:jc w:val="both"/>
        <w:rPr>
          <w:rFonts w:cs="Arial"/>
          <w:b/>
          <w:sz w:val="22"/>
          <w:szCs w:val="22"/>
        </w:rPr>
      </w:pPr>
      <w:r w:rsidRPr="00D00415">
        <w:rPr>
          <w:rFonts w:cs="Arial"/>
          <w:b/>
          <w:sz w:val="22"/>
          <w:szCs w:val="22"/>
        </w:rPr>
        <w:t xml:space="preserve">Affirmative Determinations Regarding Director Independence </w:t>
      </w:r>
    </w:p>
    <w:p w14:paraId="23AB3D8B" w14:textId="77777777" w:rsidR="005216E6" w:rsidRDefault="005216E6" w:rsidP="00DB1483">
      <w:pPr>
        <w:keepNext/>
        <w:jc w:val="both"/>
        <w:rPr>
          <w:sz w:val="22"/>
          <w:szCs w:val="22"/>
        </w:rPr>
      </w:pPr>
    </w:p>
    <w:p w14:paraId="23AB3D8C" w14:textId="77777777" w:rsidR="005216E6" w:rsidRPr="004F64EE" w:rsidRDefault="005216E6" w:rsidP="00DB1483">
      <w:pPr>
        <w:pStyle w:val="NormalWeb"/>
        <w:tabs>
          <w:tab w:val="left" w:pos="540"/>
        </w:tabs>
        <w:spacing w:before="90" w:after="0"/>
        <w:jc w:val="both"/>
        <w:rPr>
          <w:rFonts w:ascii="Arial" w:hAnsi="Arial"/>
          <w:sz w:val="21"/>
          <w:szCs w:val="21"/>
        </w:rPr>
      </w:pPr>
      <w:r w:rsidRPr="004F64EE">
        <w:rPr>
          <w:rFonts w:ascii="Arial" w:hAnsi="Arial"/>
          <w:sz w:val="21"/>
          <w:szCs w:val="21"/>
        </w:rPr>
        <w:t xml:space="preserve">     </w:t>
      </w:r>
      <w:r w:rsidRPr="004F64EE">
        <w:rPr>
          <w:rFonts w:ascii="Arial" w:hAnsi="Arial"/>
          <w:sz w:val="21"/>
          <w:szCs w:val="21"/>
        </w:rPr>
        <w:tab/>
      </w:r>
      <w:r w:rsidRPr="004F64EE">
        <w:rPr>
          <w:rFonts w:ascii="Arial" w:hAnsi="Arial"/>
          <w:sz w:val="21"/>
          <w:szCs w:val="21"/>
        </w:rPr>
        <w:tab/>
        <w:t>The Company's Board has considered the independence of the nominees for election at the Annual Meeting and has affirmatively determined that none of the four non-employee nominees for Director, Arthur Dresner, Andrew Boccone, Christopher Nolan, and Lawrence Maietta, has any material business, family or other relationship with the Company other than as a director, and for that reason they all qualify as independent under the corporate governance rules of NASDAQ. Lawrence Maietta does receive compensation as an outside accounting consultant in addition to the fees he receives as a Director, but the Board has determined that the additional compensation is not material and falls well below the thresholds established by NASDAQ and the SEC for determining independence. Kenneth Globus and Robert Rubinger are not independent due to their status as President and Executive Vice President, respectively, of the Company, and not due to any other transactions or relationships.</w:t>
      </w:r>
    </w:p>
    <w:p w14:paraId="23AB3D8D" w14:textId="77777777" w:rsidR="005216E6" w:rsidRPr="00842DCE" w:rsidRDefault="005216E6" w:rsidP="00EB2EFB">
      <w:pPr>
        <w:keepNext/>
        <w:jc w:val="both"/>
        <w:rPr>
          <w:rFonts w:cs="Arial"/>
          <w:b/>
          <w:sz w:val="22"/>
          <w:szCs w:val="22"/>
        </w:rPr>
      </w:pPr>
    </w:p>
    <w:p w14:paraId="23AB3D8E" w14:textId="77777777" w:rsidR="005216E6" w:rsidRDefault="005216E6" w:rsidP="00EB2EFB">
      <w:pPr>
        <w:keepNext/>
        <w:jc w:val="both"/>
        <w:rPr>
          <w:rFonts w:cs="Arial"/>
          <w:b/>
          <w:sz w:val="22"/>
          <w:szCs w:val="22"/>
        </w:rPr>
      </w:pPr>
      <w:r>
        <w:rPr>
          <w:rFonts w:cs="Arial"/>
          <w:b/>
          <w:sz w:val="22"/>
          <w:szCs w:val="22"/>
        </w:rPr>
        <w:t>Role of t</w:t>
      </w:r>
      <w:r w:rsidRPr="00842DCE">
        <w:rPr>
          <w:rFonts w:cs="Arial"/>
          <w:b/>
          <w:sz w:val="22"/>
          <w:szCs w:val="22"/>
        </w:rPr>
        <w:t xml:space="preserve">he Board in Risk </w:t>
      </w:r>
      <w:r>
        <w:rPr>
          <w:rFonts w:cs="Arial"/>
          <w:b/>
          <w:sz w:val="22"/>
          <w:szCs w:val="22"/>
        </w:rPr>
        <w:t>Oversight</w:t>
      </w:r>
    </w:p>
    <w:p w14:paraId="23AB3D8F" w14:textId="77777777" w:rsidR="001745D2" w:rsidRPr="00842DCE" w:rsidRDefault="001745D2" w:rsidP="00EB2EFB">
      <w:pPr>
        <w:keepNext/>
        <w:jc w:val="both"/>
        <w:rPr>
          <w:rFonts w:cs="Arial"/>
          <w:b/>
          <w:sz w:val="22"/>
          <w:szCs w:val="22"/>
        </w:rPr>
      </w:pPr>
    </w:p>
    <w:p w14:paraId="23AB3D90" w14:textId="77777777" w:rsidR="005216E6" w:rsidRDefault="005216E6" w:rsidP="004F64EE">
      <w:pPr>
        <w:pStyle w:val="NormalWeb"/>
        <w:tabs>
          <w:tab w:val="left" w:pos="540"/>
        </w:tabs>
        <w:spacing w:before="90" w:after="0"/>
        <w:jc w:val="both"/>
        <w:rPr>
          <w:rFonts w:ascii="Arial" w:hAnsi="Arial"/>
          <w:sz w:val="21"/>
          <w:szCs w:val="21"/>
        </w:rPr>
      </w:pPr>
      <w:r w:rsidRPr="004F64EE">
        <w:rPr>
          <w:rFonts w:ascii="Arial" w:hAnsi="Arial"/>
          <w:sz w:val="21"/>
          <w:szCs w:val="21"/>
        </w:rPr>
        <w:t xml:space="preserve">     </w:t>
      </w:r>
      <w:r w:rsidRPr="004F64EE">
        <w:rPr>
          <w:rFonts w:ascii="Arial" w:hAnsi="Arial"/>
          <w:sz w:val="21"/>
          <w:szCs w:val="21"/>
        </w:rPr>
        <w:tab/>
        <w:t>The Board views risk management as a process designed to identify, manage, and control risks that may adversely affect the Company, so that they are appropriate considering the Company's size, operations and business objectives. The Company's risk management policies enable the Company to manage risk within acceptable limits and provide reasonable assurance of optimum corporate performance in the area of risk/return. The Board has ultimate responsibility for oversight of the Company's risk management processes, and discharges this responsibility through regular reports received from, and discussions with, senior management on all areas of material risk exposure to the Company. These reports and discussions include, among other things, operational, financial, legal and regulatory, and strategic risks. The full Board engages with the appropriate members of senior management to enable its members to understand and provide input to, and oversight of, risk identification, risk management and risk mitigation strategies. In addition, the Company's Audit Committee is responsible for evaluating and monitoring financial risks, and meets regularly in executive session without management present to, among other things, discuss the Company's risk management culture and processes. While the Board oversees the Company’s risk management, the Company’s senior management is responsible for day-to-day risk management processes.</w:t>
      </w:r>
    </w:p>
    <w:p w14:paraId="23AB3D91" w14:textId="77777777" w:rsidR="001745D2" w:rsidRPr="004F64EE" w:rsidRDefault="001745D2" w:rsidP="004F64EE">
      <w:pPr>
        <w:pStyle w:val="NormalWeb"/>
        <w:tabs>
          <w:tab w:val="left" w:pos="540"/>
        </w:tabs>
        <w:spacing w:before="90" w:after="0"/>
        <w:jc w:val="both"/>
        <w:rPr>
          <w:rFonts w:ascii="Arial" w:hAnsi="Arial"/>
          <w:sz w:val="21"/>
          <w:szCs w:val="21"/>
        </w:rPr>
      </w:pPr>
    </w:p>
    <w:p w14:paraId="23AB3D92" w14:textId="77777777" w:rsidR="005216E6" w:rsidRDefault="005216E6" w:rsidP="00EB2EFB">
      <w:pPr>
        <w:keepNext/>
        <w:jc w:val="both"/>
        <w:rPr>
          <w:rFonts w:cs="Arial"/>
          <w:b/>
          <w:sz w:val="22"/>
          <w:szCs w:val="22"/>
        </w:rPr>
      </w:pPr>
      <w:r>
        <w:rPr>
          <w:rFonts w:cs="Arial"/>
          <w:b/>
          <w:sz w:val="22"/>
          <w:szCs w:val="22"/>
        </w:rPr>
        <w:t>Section 16(a) Beneficial Ownership Reporting Compliance</w:t>
      </w:r>
    </w:p>
    <w:p w14:paraId="23AB3D93" w14:textId="77777777" w:rsidR="005216E6" w:rsidRDefault="005216E6" w:rsidP="00EB2EFB">
      <w:pPr>
        <w:keepNext/>
        <w:jc w:val="both"/>
        <w:rPr>
          <w:rFonts w:cs="Arial"/>
          <w:sz w:val="22"/>
          <w:szCs w:val="22"/>
        </w:rPr>
      </w:pPr>
    </w:p>
    <w:p w14:paraId="23AB3D94" w14:textId="77777777" w:rsidR="005216E6" w:rsidRPr="004F64EE" w:rsidRDefault="005216E6" w:rsidP="00EB2EFB">
      <w:pPr>
        <w:jc w:val="both"/>
        <w:rPr>
          <w:rFonts w:cs="Arial"/>
          <w:sz w:val="21"/>
          <w:szCs w:val="21"/>
        </w:rPr>
      </w:pPr>
      <w:r w:rsidRPr="004F64EE">
        <w:rPr>
          <w:rFonts w:cs="Arial"/>
          <w:sz w:val="21"/>
          <w:szCs w:val="21"/>
        </w:rPr>
        <w:t xml:space="preserve">     </w:t>
      </w:r>
      <w:r w:rsidRPr="004F64EE">
        <w:rPr>
          <w:rFonts w:cs="Arial"/>
          <w:sz w:val="21"/>
          <w:szCs w:val="21"/>
        </w:rPr>
        <w:tab/>
        <w:t xml:space="preserve">Section 16(a) of the Securities Exchange Act of 1934 (the "Exchange Act") requires the Company's officers, directors and persons who own more than 10% of a class of the Company's equity securities to file reports of beneficial ownership and changes in beneficial ownership with the SEC. Officers, directors and greater than 10% stockholders are required by SEC regulations to furnish the Company with copies of all Section 16(a) forms they file. Based on (i) a review of copies of Forms 3, 4, and 5 and any amendments thereto furnished to the Company during and with respect to the fiscal year ended December 31, 2014 and (ii) any written representations signed by reporting persons that no Form 5 is required, the Company believes that all persons subject to the reporting </w:t>
      </w:r>
      <w:r w:rsidRPr="004F64EE">
        <w:rPr>
          <w:rFonts w:cs="Arial"/>
          <w:sz w:val="21"/>
          <w:szCs w:val="21"/>
        </w:rPr>
        <w:lastRenderedPageBreak/>
        <w:t>requirements pursuant to Section 16(a) filed the required reports on a timely basis during and with respect to the fiscal year ended December 31, 2014.</w:t>
      </w:r>
    </w:p>
    <w:p w14:paraId="23AB3D95" w14:textId="77777777" w:rsidR="005216E6" w:rsidRDefault="005216E6" w:rsidP="00EB2EFB">
      <w:pPr>
        <w:jc w:val="both"/>
        <w:rPr>
          <w:rFonts w:cs="Arial"/>
          <w:sz w:val="22"/>
          <w:szCs w:val="22"/>
        </w:rPr>
      </w:pPr>
    </w:p>
    <w:p w14:paraId="23AB3D96" w14:textId="77777777" w:rsidR="005216E6" w:rsidRDefault="005216E6" w:rsidP="00EB2EFB">
      <w:pPr>
        <w:keepNext/>
        <w:jc w:val="both"/>
        <w:rPr>
          <w:rFonts w:cs="Arial"/>
          <w:sz w:val="22"/>
          <w:szCs w:val="22"/>
        </w:rPr>
      </w:pPr>
      <w:r>
        <w:rPr>
          <w:rFonts w:cs="Arial"/>
          <w:b/>
          <w:sz w:val="22"/>
          <w:szCs w:val="22"/>
        </w:rPr>
        <w:t>Directors Meetings</w:t>
      </w:r>
    </w:p>
    <w:p w14:paraId="23AB3D97" w14:textId="77777777" w:rsidR="005216E6" w:rsidRDefault="005216E6" w:rsidP="00EB2EFB">
      <w:pPr>
        <w:keepNext/>
        <w:jc w:val="both"/>
        <w:rPr>
          <w:rFonts w:cs="Arial"/>
          <w:sz w:val="22"/>
          <w:szCs w:val="22"/>
        </w:rPr>
      </w:pPr>
      <w:r>
        <w:rPr>
          <w:rFonts w:cs="Arial"/>
          <w:sz w:val="22"/>
          <w:szCs w:val="22"/>
        </w:rPr>
        <w:t xml:space="preserve">     </w:t>
      </w:r>
    </w:p>
    <w:p w14:paraId="23AB3D98" w14:textId="77777777" w:rsidR="005216E6" w:rsidRPr="004F64EE" w:rsidRDefault="005216E6" w:rsidP="00EB2EFB">
      <w:pPr>
        <w:jc w:val="both"/>
        <w:rPr>
          <w:rFonts w:cs="Arial"/>
          <w:sz w:val="21"/>
          <w:szCs w:val="21"/>
        </w:rPr>
      </w:pPr>
      <w:r w:rsidRPr="004F64EE">
        <w:rPr>
          <w:rFonts w:cs="Arial"/>
          <w:sz w:val="21"/>
          <w:szCs w:val="21"/>
        </w:rPr>
        <w:t xml:space="preserve">     </w:t>
      </w:r>
      <w:r w:rsidRPr="004F64EE">
        <w:rPr>
          <w:rFonts w:cs="Arial"/>
          <w:sz w:val="21"/>
          <w:szCs w:val="21"/>
        </w:rPr>
        <w:tab/>
        <w:t xml:space="preserve">During the fiscal year ended December 31, 2014, the </w:t>
      </w:r>
      <w:r w:rsidR="006F31D2" w:rsidRPr="004F64EE">
        <w:rPr>
          <w:rFonts w:cs="Arial"/>
          <w:sz w:val="21"/>
          <w:szCs w:val="21"/>
        </w:rPr>
        <w:t>Board</w:t>
      </w:r>
      <w:r w:rsidRPr="004F64EE">
        <w:rPr>
          <w:rFonts w:cs="Arial"/>
          <w:sz w:val="21"/>
          <w:szCs w:val="21"/>
        </w:rPr>
        <w:t xml:space="preserve"> held four meetings. All six Directors attended all four meetings.</w:t>
      </w:r>
    </w:p>
    <w:p w14:paraId="23AB3D99" w14:textId="77777777" w:rsidR="005216E6" w:rsidRDefault="005216E6" w:rsidP="00EB2EFB">
      <w:pPr>
        <w:jc w:val="both"/>
        <w:rPr>
          <w:rFonts w:cs="Arial"/>
          <w:sz w:val="22"/>
          <w:szCs w:val="22"/>
        </w:rPr>
      </w:pPr>
    </w:p>
    <w:p w14:paraId="23AB3D9A" w14:textId="77777777" w:rsidR="005216E6" w:rsidRPr="004F64EE" w:rsidRDefault="005216E6" w:rsidP="00EB2EFB">
      <w:pPr>
        <w:jc w:val="both"/>
        <w:rPr>
          <w:rFonts w:cs="Arial"/>
          <w:sz w:val="21"/>
          <w:szCs w:val="21"/>
        </w:rPr>
      </w:pPr>
      <w:r w:rsidRPr="004F64EE">
        <w:rPr>
          <w:rFonts w:cs="Arial"/>
          <w:sz w:val="21"/>
          <w:szCs w:val="21"/>
        </w:rPr>
        <w:t xml:space="preserve">     </w:t>
      </w:r>
      <w:r w:rsidRPr="004F64EE">
        <w:rPr>
          <w:rFonts w:cs="Arial"/>
          <w:sz w:val="21"/>
          <w:szCs w:val="21"/>
        </w:rPr>
        <w:tab/>
        <w:t xml:space="preserve">The </w:t>
      </w:r>
      <w:r w:rsidR="006F31D2" w:rsidRPr="004F64EE">
        <w:rPr>
          <w:rFonts w:cs="Arial"/>
          <w:sz w:val="21"/>
          <w:szCs w:val="21"/>
        </w:rPr>
        <w:t>Board</w:t>
      </w:r>
      <w:r w:rsidRPr="004F64EE">
        <w:rPr>
          <w:rFonts w:cs="Arial"/>
          <w:sz w:val="21"/>
          <w:szCs w:val="21"/>
        </w:rPr>
        <w:t xml:space="preserve"> has a separately-designated standing Audit Committee, established in accordance with Section 3(a)(58)(A) of the Exchange Act, to oversee the accounting and financial reporting processes of the Company and to meet and review with the Company's independent auditors the plan, scope and results of its audits. Members of the Audit Committee are Messrs. Arthur M. Dresner, the Chairman, Andrew A. Boccone, and Christopher W. Nolan, Sr. All of the Audit Committee members are independent as that term is defined in the listing standards of NASDAQ, the Company’s stock exchange since March 16, 2009. Under NASDAQ rules, the </w:t>
      </w:r>
      <w:r w:rsidR="006F31D2" w:rsidRPr="004F64EE">
        <w:rPr>
          <w:rFonts w:cs="Arial"/>
          <w:sz w:val="21"/>
          <w:szCs w:val="21"/>
        </w:rPr>
        <w:t>Board</w:t>
      </w:r>
      <w:r w:rsidRPr="004F64EE">
        <w:rPr>
          <w:rFonts w:cs="Arial"/>
          <w:sz w:val="21"/>
          <w:szCs w:val="21"/>
        </w:rPr>
        <w:t xml:space="preserve"> is required to make certain findings about the independence and qualifications of the members of the Audit Committee of the Board. In addition to assessing the independence of the members under NASDAQ rules, the Board also considered the requirements of Section 10A(m)(3) and Rule 10a-3 under the Exchange Act. As a result of its review, the Board determined that the Audit Committee does not have a financial expert. However, Christopher W. Nolan, Sr., is considered “financially sophisticated” as that term is defined by NASDAQ, and Lawrence F. Maietta, a Certified Public Accountant and former member of the Audit Committee, acts as an advisor to the Audit Committee. Mr. Maietta would not be deemed independent for purposes of membership on the Audit Committee. The reason for the absence of a financial expert is that the </w:t>
      </w:r>
      <w:r w:rsidR="006F31D2" w:rsidRPr="004F64EE">
        <w:rPr>
          <w:rFonts w:cs="Arial"/>
          <w:sz w:val="21"/>
          <w:szCs w:val="21"/>
        </w:rPr>
        <w:t>Board</w:t>
      </w:r>
      <w:r w:rsidRPr="004F64EE">
        <w:rPr>
          <w:rFonts w:cs="Arial"/>
          <w:sz w:val="21"/>
          <w:szCs w:val="21"/>
        </w:rPr>
        <w:t xml:space="preserve"> determined that the expense involved did not justify recruiting one, considering Mr. Maietta's presence as an advisor and Mr. Nolan’s “financially sophisticated” status. There were four meetings of the Audit Committee during the fiscal year ended December 31, 2014. All members attended all four meetings. A copy of the Audit Committee Charter is available on the Company's website at www.u-g.com/corporate.</w:t>
      </w:r>
    </w:p>
    <w:p w14:paraId="23AB3D9B" w14:textId="77777777" w:rsidR="005216E6" w:rsidRDefault="005216E6" w:rsidP="00EB2EFB">
      <w:pPr>
        <w:jc w:val="both"/>
        <w:rPr>
          <w:rFonts w:cs="Arial"/>
          <w:sz w:val="22"/>
          <w:szCs w:val="22"/>
        </w:rPr>
      </w:pPr>
    </w:p>
    <w:p w14:paraId="23AB3D9C" w14:textId="77777777" w:rsidR="005216E6" w:rsidRPr="004F64EE" w:rsidRDefault="005216E6" w:rsidP="00EB2EFB">
      <w:pPr>
        <w:jc w:val="both"/>
        <w:rPr>
          <w:rFonts w:cs="Arial"/>
          <w:sz w:val="21"/>
          <w:szCs w:val="21"/>
        </w:rPr>
      </w:pPr>
      <w:r w:rsidRPr="004F64EE">
        <w:rPr>
          <w:rFonts w:cs="Arial"/>
          <w:sz w:val="21"/>
          <w:szCs w:val="21"/>
        </w:rPr>
        <w:t xml:space="preserve">     </w:t>
      </w:r>
      <w:r w:rsidRPr="004F64EE">
        <w:rPr>
          <w:rFonts w:cs="Arial"/>
          <w:sz w:val="21"/>
          <w:szCs w:val="21"/>
        </w:rPr>
        <w:tab/>
        <w:t>During the fiscal year ended December 31, 2014, the independent directors of the Company, Messrs. Lawrence F. Maietta, Arthur M. Dresner, Andrew A. Boccone, and Christopher W. Nolan, Sr., held two meetings in executive session without the presence of non-independent directors and management in accordance with NASDAQ rules. All of the independent directors were present at both of the meetings. No fee was paid to such directors for these meetings.</w:t>
      </w:r>
    </w:p>
    <w:p w14:paraId="23AB3D9D" w14:textId="77777777" w:rsidR="005216E6" w:rsidRDefault="005216E6" w:rsidP="00EB2EFB">
      <w:pPr>
        <w:jc w:val="both"/>
        <w:rPr>
          <w:rFonts w:cs="Arial"/>
          <w:sz w:val="22"/>
          <w:szCs w:val="22"/>
        </w:rPr>
      </w:pPr>
    </w:p>
    <w:p w14:paraId="23AB3D9E" w14:textId="77777777" w:rsidR="005216E6" w:rsidRPr="004F64EE" w:rsidRDefault="005216E6" w:rsidP="00EB2EFB">
      <w:pPr>
        <w:jc w:val="both"/>
        <w:rPr>
          <w:rFonts w:cs="Arial"/>
          <w:sz w:val="21"/>
          <w:szCs w:val="21"/>
        </w:rPr>
      </w:pPr>
      <w:r w:rsidRPr="004F64EE">
        <w:rPr>
          <w:rFonts w:cs="Arial"/>
          <w:sz w:val="21"/>
          <w:szCs w:val="21"/>
        </w:rPr>
        <w:t xml:space="preserve">     </w:t>
      </w:r>
      <w:r w:rsidRPr="004F64EE">
        <w:rPr>
          <w:rFonts w:cs="Arial"/>
          <w:sz w:val="21"/>
          <w:szCs w:val="21"/>
        </w:rPr>
        <w:tab/>
        <w:t xml:space="preserve">The </w:t>
      </w:r>
      <w:r w:rsidR="006F31D2" w:rsidRPr="004F64EE">
        <w:rPr>
          <w:rFonts w:cs="Arial"/>
          <w:sz w:val="21"/>
          <w:szCs w:val="21"/>
        </w:rPr>
        <w:t>Board</w:t>
      </w:r>
      <w:r w:rsidRPr="004F64EE">
        <w:rPr>
          <w:rFonts w:cs="Arial"/>
          <w:sz w:val="21"/>
          <w:szCs w:val="21"/>
        </w:rPr>
        <w:t xml:space="preserve"> has a Compensation Committee which was formed in 1999 for the purpose of recommending to the Board the compensation of corporate officers and key employees for the ensuing year. Members of the Compensation Committee are Messrs. Lawrence F. Maietta, Arthur M. Dresner, and Andrew A. Boccone. Kenneth H. Globus acts as advisor to the Committee representing management. The Committee held one meeting in 2014. The Compensation Committee does not have a charter. Neither management nor the Committee has engaged a consultant to provide advice on compensation. </w:t>
      </w:r>
    </w:p>
    <w:p w14:paraId="23AB3D9F" w14:textId="77777777" w:rsidR="005216E6" w:rsidRDefault="005216E6" w:rsidP="00EB2EFB">
      <w:pPr>
        <w:jc w:val="both"/>
        <w:rPr>
          <w:rFonts w:cs="Arial"/>
          <w:sz w:val="22"/>
          <w:szCs w:val="22"/>
        </w:rPr>
      </w:pPr>
    </w:p>
    <w:p w14:paraId="23AB3DA0" w14:textId="77777777" w:rsidR="005216E6" w:rsidRPr="004F64EE" w:rsidRDefault="005216E6" w:rsidP="00EB2EFB">
      <w:pPr>
        <w:jc w:val="both"/>
        <w:rPr>
          <w:rFonts w:cs="Arial"/>
          <w:sz w:val="21"/>
          <w:szCs w:val="21"/>
        </w:rPr>
      </w:pPr>
      <w:r w:rsidRPr="004F64EE">
        <w:rPr>
          <w:rFonts w:cs="Arial"/>
          <w:sz w:val="21"/>
          <w:szCs w:val="21"/>
        </w:rPr>
        <w:t xml:space="preserve">     </w:t>
      </w:r>
      <w:r w:rsidRPr="004F64EE">
        <w:rPr>
          <w:rFonts w:cs="Arial"/>
          <w:sz w:val="21"/>
          <w:szCs w:val="21"/>
        </w:rPr>
        <w:tab/>
        <w:t>The Compensation Committee meets in June of each year and targets a total dollar amount to be allocated in the form of bonuses to all employees for the year. It also sets the specific bonus to be paid to each officer and key employee. These bonuses are paid as a single sum cash bonus in July of each year. In addition, the Committee recommends the amount of any cost of living increase for all employees based upon U.S. Department of Labor statistics for the prior year.</w:t>
      </w:r>
    </w:p>
    <w:p w14:paraId="23AB3DA1" w14:textId="77777777" w:rsidR="005216E6" w:rsidRDefault="005216E6" w:rsidP="00EB2EFB">
      <w:pPr>
        <w:jc w:val="both"/>
        <w:rPr>
          <w:rFonts w:cs="Arial"/>
          <w:sz w:val="22"/>
          <w:szCs w:val="22"/>
        </w:rPr>
      </w:pPr>
    </w:p>
    <w:p w14:paraId="23AB3DA2" w14:textId="77777777" w:rsidR="005216E6" w:rsidRPr="004F64EE" w:rsidRDefault="005216E6" w:rsidP="00EB2EFB">
      <w:pPr>
        <w:jc w:val="both"/>
        <w:rPr>
          <w:rFonts w:cs="Arial"/>
          <w:sz w:val="21"/>
          <w:szCs w:val="21"/>
        </w:rPr>
      </w:pPr>
      <w:r w:rsidRPr="004F64EE">
        <w:rPr>
          <w:rFonts w:cs="Arial"/>
          <w:sz w:val="21"/>
          <w:szCs w:val="21"/>
        </w:rPr>
        <w:t xml:space="preserve">     </w:t>
      </w:r>
      <w:r w:rsidRPr="004F64EE">
        <w:rPr>
          <w:rFonts w:cs="Arial"/>
          <w:sz w:val="21"/>
          <w:szCs w:val="21"/>
        </w:rPr>
        <w:tab/>
        <w:t xml:space="preserve">The Compensation Committee does not set compensation of Directors. Instead, the full </w:t>
      </w:r>
      <w:r w:rsidR="006F31D2" w:rsidRPr="004F64EE">
        <w:rPr>
          <w:rFonts w:cs="Arial"/>
          <w:sz w:val="21"/>
          <w:szCs w:val="21"/>
        </w:rPr>
        <w:t>Board</w:t>
      </w:r>
      <w:r w:rsidRPr="004F64EE">
        <w:rPr>
          <w:rFonts w:cs="Arial"/>
          <w:sz w:val="21"/>
          <w:szCs w:val="21"/>
        </w:rPr>
        <w:t xml:space="preserve"> acts on recommendations made by the independent directors. In its review of compensation of Directors, the Board considers various factors, such as compensation of Directors in other public companies of a similar size, the time spent by Board and Committee members in their service to the Company, and recent changes that may result in an increase or decrease in the responsibilities or time commitment of a Board and Committee member.</w:t>
      </w:r>
    </w:p>
    <w:p w14:paraId="23AB3DA3" w14:textId="77777777" w:rsidR="005216E6" w:rsidRDefault="005216E6" w:rsidP="00EB2EFB">
      <w:pPr>
        <w:jc w:val="both"/>
        <w:rPr>
          <w:rFonts w:cs="Arial"/>
          <w:sz w:val="22"/>
          <w:szCs w:val="22"/>
        </w:rPr>
      </w:pPr>
    </w:p>
    <w:p w14:paraId="23AB3DA4" w14:textId="77777777" w:rsidR="005216E6" w:rsidRPr="004F64EE" w:rsidRDefault="005216E6" w:rsidP="00EB2EFB">
      <w:pPr>
        <w:jc w:val="both"/>
        <w:rPr>
          <w:rFonts w:cs="Arial"/>
          <w:sz w:val="21"/>
          <w:szCs w:val="21"/>
        </w:rPr>
      </w:pPr>
      <w:r w:rsidRPr="004F64EE">
        <w:rPr>
          <w:rFonts w:cs="Arial"/>
          <w:sz w:val="21"/>
          <w:szCs w:val="21"/>
        </w:rPr>
        <w:t xml:space="preserve">     </w:t>
      </w:r>
      <w:r w:rsidRPr="004F64EE">
        <w:rPr>
          <w:rFonts w:cs="Arial"/>
          <w:sz w:val="21"/>
          <w:szCs w:val="21"/>
        </w:rPr>
        <w:tab/>
        <w:t xml:space="preserve">The Board does not have a Nominating Committee. The full </w:t>
      </w:r>
      <w:r w:rsidR="006F31D2" w:rsidRPr="004F64EE">
        <w:rPr>
          <w:rFonts w:cs="Arial"/>
          <w:sz w:val="21"/>
          <w:szCs w:val="21"/>
        </w:rPr>
        <w:t>Board</w:t>
      </w:r>
      <w:r w:rsidRPr="004F64EE">
        <w:rPr>
          <w:rFonts w:cs="Arial"/>
          <w:sz w:val="21"/>
          <w:szCs w:val="21"/>
        </w:rPr>
        <w:t xml:space="preserve"> fulfills the role of a nominating committee. Final selections are made by a majority of the independent directors. Kenneth H. Globus and Robert S. Rubinger are not independent as that term is defined by the listing standards of NASDAQ. It is the position of the Board that it is appropriate for the Company not to have a separate nominating committee because the size, composition and collective independence of the Board enables it to adequately fulfill the functions of a standing </w:t>
      </w:r>
      <w:r w:rsidRPr="004F64EE">
        <w:rPr>
          <w:rFonts w:cs="Arial"/>
          <w:sz w:val="21"/>
          <w:szCs w:val="21"/>
        </w:rPr>
        <w:lastRenderedPageBreak/>
        <w:t>committee. NASDAQ does not require the Company to have a separate nominating committee but does require that Board nominees be selected by either a nominating committee composed solely of independent directors or by a majority of the independent directors. The Board does not consider diversity in identifying nominees for director positions.</w:t>
      </w:r>
    </w:p>
    <w:p w14:paraId="23AB3DA5" w14:textId="77777777" w:rsidR="005216E6" w:rsidRDefault="005216E6" w:rsidP="00EB2EFB">
      <w:pPr>
        <w:jc w:val="both"/>
        <w:rPr>
          <w:rFonts w:cs="Arial"/>
          <w:sz w:val="22"/>
          <w:szCs w:val="22"/>
        </w:rPr>
      </w:pPr>
    </w:p>
    <w:p w14:paraId="23AB3DA6" w14:textId="77777777" w:rsidR="005216E6" w:rsidRPr="004F64EE" w:rsidRDefault="005216E6" w:rsidP="00EB2EFB">
      <w:pPr>
        <w:jc w:val="both"/>
        <w:rPr>
          <w:rFonts w:cs="Arial"/>
          <w:sz w:val="21"/>
          <w:szCs w:val="21"/>
        </w:rPr>
      </w:pPr>
      <w:r w:rsidRPr="004F64EE">
        <w:rPr>
          <w:rFonts w:cs="Arial"/>
          <w:sz w:val="21"/>
          <w:szCs w:val="21"/>
        </w:rPr>
        <w:t xml:space="preserve">     </w:t>
      </w:r>
      <w:r w:rsidRPr="004F64EE">
        <w:rPr>
          <w:rFonts w:cs="Arial"/>
          <w:sz w:val="21"/>
          <w:szCs w:val="21"/>
        </w:rPr>
        <w:tab/>
        <w:t xml:space="preserve">The Board identifies director candidates through a combination of referrals, including by management, existing Board members, and stockholders. Once a candidate has been identified, the Board reviews the individual’s experience and background, and may discuss the proposed nominee with the source of the recommendation. If the independent directors believe it to be appropriate, such directors may meet with the proposed nominee before making a final determination on whether to include the proposed nominee as a member of management's slate of director nominees submitted to the stockholders for election to the Board. The Board will evaluate stockholder-nominated candidates under the same criteria as director-nominated candidates. Stockholders wishing to refer director candidates to the Board should do so in writing and they should be delivered to the Board c/o Corporate Secretary, United-Guardian, Inc., P.O. Box 18050, Hauppauge, NY 11788. The </w:t>
      </w:r>
      <w:r w:rsidR="006F31D2" w:rsidRPr="004F64EE">
        <w:rPr>
          <w:rFonts w:cs="Arial"/>
          <w:sz w:val="21"/>
          <w:szCs w:val="21"/>
        </w:rPr>
        <w:t>Board</w:t>
      </w:r>
      <w:r w:rsidRPr="004F64EE">
        <w:rPr>
          <w:rFonts w:cs="Arial"/>
          <w:sz w:val="21"/>
          <w:szCs w:val="21"/>
        </w:rPr>
        <w:t xml:space="preserve"> has adopted a corporate resolution with regard to the nominating process as discussed above. The Board has no charter for the nominating process.</w:t>
      </w:r>
    </w:p>
    <w:p w14:paraId="23AB3DA7" w14:textId="77777777" w:rsidR="005216E6" w:rsidRDefault="005216E6" w:rsidP="00EB2EFB">
      <w:pPr>
        <w:spacing w:line="220" w:lineRule="exact"/>
        <w:jc w:val="both"/>
        <w:rPr>
          <w:b/>
          <w:sz w:val="22"/>
          <w:szCs w:val="22"/>
        </w:rPr>
      </w:pPr>
    </w:p>
    <w:p w14:paraId="23AB3DA8" w14:textId="77777777" w:rsidR="005216E6" w:rsidRPr="004F64EE" w:rsidRDefault="005216E6" w:rsidP="004F64EE">
      <w:pPr>
        <w:jc w:val="both"/>
        <w:rPr>
          <w:rFonts w:cs="Arial"/>
          <w:sz w:val="21"/>
          <w:szCs w:val="21"/>
        </w:rPr>
      </w:pPr>
      <w:r w:rsidRPr="004F64EE">
        <w:rPr>
          <w:rFonts w:cs="Arial"/>
          <w:sz w:val="21"/>
          <w:szCs w:val="21"/>
        </w:rPr>
        <w:t xml:space="preserve">     </w:t>
      </w:r>
      <w:r w:rsidRPr="004F64EE">
        <w:rPr>
          <w:rFonts w:cs="Arial"/>
          <w:sz w:val="21"/>
          <w:szCs w:val="21"/>
        </w:rPr>
        <w:tab/>
        <w:t>In 2014 all six Directors attended the Annual Meeting of Stockholders.</w:t>
      </w:r>
    </w:p>
    <w:p w14:paraId="23AB3DA9" w14:textId="77777777" w:rsidR="005216E6" w:rsidRDefault="005216E6" w:rsidP="00EB2EFB">
      <w:pPr>
        <w:jc w:val="center"/>
        <w:rPr>
          <w:rFonts w:cs="Arial"/>
          <w:b/>
          <w:szCs w:val="24"/>
        </w:rPr>
      </w:pPr>
    </w:p>
    <w:p w14:paraId="23AB3DAA" w14:textId="77777777" w:rsidR="005216E6" w:rsidRDefault="005216E6" w:rsidP="00EB2EFB">
      <w:pPr>
        <w:jc w:val="center"/>
        <w:rPr>
          <w:rFonts w:cs="Arial"/>
          <w:b/>
          <w:szCs w:val="24"/>
        </w:rPr>
      </w:pPr>
      <w:r>
        <w:rPr>
          <w:rFonts w:cs="Arial"/>
          <w:b/>
          <w:szCs w:val="24"/>
        </w:rPr>
        <w:t>AUDIT COMMITTEE REPORT</w:t>
      </w:r>
    </w:p>
    <w:p w14:paraId="23AB3DAB" w14:textId="77777777" w:rsidR="005216E6" w:rsidRDefault="005216E6" w:rsidP="00EB2EFB">
      <w:pPr>
        <w:jc w:val="center"/>
        <w:rPr>
          <w:rFonts w:cs="Arial"/>
          <w:b/>
          <w:szCs w:val="24"/>
        </w:rPr>
      </w:pPr>
    </w:p>
    <w:p w14:paraId="23AB3DAC" w14:textId="77777777" w:rsidR="005216E6" w:rsidRPr="004F64EE" w:rsidRDefault="005216E6" w:rsidP="00EB2EFB">
      <w:pPr>
        <w:jc w:val="both"/>
        <w:rPr>
          <w:rFonts w:cs="Arial"/>
          <w:sz w:val="21"/>
          <w:szCs w:val="21"/>
        </w:rPr>
      </w:pPr>
      <w:r w:rsidRPr="004F64EE">
        <w:rPr>
          <w:rFonts w:cs="Arial"/>
          <w:sz w:val="21"/>
          <w:szCs w:val="21"/>
        </w:rPr>
        <w:t xml:space="preserve">     </w:t>
      </w:r>
      <w:r w:rsidRPr="004F64EE">
        <w:rPr>
          <w:rFonts w:cs="Arial"/>
          <w:sz w:val="21"/>
          <w:szCs w:val="21"/>
        </w:rPr>
        <w:tab/>
        <w:t xml:space="preserve">The Audit Committee of the </w:t>
      </w:r>
      <w:r w:rsidR="006F31D2" w:rsidRPr="004F64EE">
        <w:rPr>
          <w:rFonts w:cs="Arial"/>
          <w:sz w:val="21"/>
          <w:szCs w:val="21"/>
        </w:rPr>
        <w:t>Board</w:t>
      </w:r>
      <w:r w:rsidRPr="004F64EE">
        <w:rPr>
          <w:rFonts w:cs="Arial"/>
          <w:sz w:val="21"/>
          <w:szCs w:val="21"/>
        </w:rPr>
        <w:t xml:space="preserve"> is comp</w:t>
      </w:r>
      <w:r w:rsidR="006316B9" w:rsidRPr="004F64EE">
        <w:rPr>
          <w:rFonts w:cs="Arial"/>
          <w:sz w:val="21"/>
          <w:szCs w:val="21"/>
        </w:rPr>
        <w:t>osed</w:t>
      </w:r>
      <w:r w:rsidRPr="004F64EE">
        <w:rPr>
          <w:rFonts w:cs="Arial"/>
          <w:sz w:val="21"/>
          <w:szCs w:val="21"/>
        </w:rPr>
        <w:t xml:space="preserve"> of three directors:  Arthur M. Dresner, Andrew A. Boccone, and Christopher W. Nolan, Sr. All of the Audit Committee members are independent as that term is defined in the listing standards of NASDAQ.</w:t>
      </w:r>
    </w:p>
    <w:p w14:paraId="23AB3DAD" w14:textId="77777777" w:rsidR="005216E6" w:rsidRDefault="005216E6" w:rsidP="00EB2EFB">
      <w:pPr>
        <w:jc w:val="both"/>
        <w:rPr>
          <w:rFonts w:cs="Arial"/>
          <w:sz w:val="22"/>
          <w:szCs w:val="22"/>
        </w:rPr>
      </w:pPr>
    </w:p>
    <w:p w14:paraId="23AB3DAE" w14:textId="77777777" w:rsidR="005216E6" w:rsidRPr="004F64EE" w:rsidRDefault="005216E6" w:rsidP="004F64EE">
      <w:pPr>
        <w:jc w:val="both"/>
        <w:rPr>
          <w:rFonts w:cs="Arial"/>
          <w:sz w:val="21"/>
          <w:szCs w:val="21"/>
        </w:rPr>
      </w:pPr>
      <w:r w:rsidRPr="004F64EE">
        <w:rPr>
          <w:rFonts w:cs="Arial"/>
          <w:sz w:val="21"/>
          <w:szCs w:val="21"/>
        </w:rPr>
        <w:t xml:space="preserve">     </w:t>
      </w:r>
      <w:r w:rsidRPr="004F64EE">
        <w:rPr>
          <w:rFonts w:cs="Arial"/>
          <w:sz w:val="21"/>
          <w:szCs w:val="21"/>
        </w:rPr>
        <w:tab/>
        <w:t xml:space="preserve">The Audit Committee assists the </w:t>
      </w:r>
      <w:r w:rsidR="006F31D2" w:rsidRPr="004F64EE">
        <w:rPr>
          <w:rFonts w:cs="Arial"/>
          <w:sz w:val="21"/>
          <w:szCs w:val="21"/>
        </w:rPr>
        <w:t>Board</w:t>
      </w:r>
      <w:r w:rsidRPr="004F64EE">
        <w:rPr>
          <w:rFonts w:cs="Arial"/>
          <w:sz w:val="21"/>
          <w:szCs w:val="21"/>
        </w:rPr>
        <w:t xml:space="preserve"> in fulfilling its oversight responsibilities by reviewing the Company’s consolidated financial report, its internal financial and accounting controls, and its auditing, accounting and financial reporting processes generally.</w:t>
      </w:r>
    </w:p>
    <w:p w14:paraId="23AB3DAF" w14:textId="77777777" w:rsidR="005216E6" w:rsidRDefault="005216E6" w:rsidP="00EB2EFB">
      <w:pPr>
        <w:jc w:val="both"/>
        <w:rPr>
          <w:rFonts w:cs="Arial"/>
          <w:sz w:val="22"/>
          <w:szCs w:val="22"/>
        </w:rPr>
      </w:pPr>
    </w:p>
    <w:p w14:paraId="23AB3DB0" w14:textId="77777777" w:rsidR="005216E6" w:rsidRPr="004F64EE" w:rsidRDefault="005216E6" w:rsidP="00EB2EFB">
      <w:pPr>
        <w:jc w:val="both"/>
        <w:rPr>
          <w:rFonts w:cs="Arial"/>
          <w:sz w:val="21"/>
          <w:szCs w:val="21"/>
        </w:rPr>
      </w:pPr>
      <w:r w:rsidRPr="004F64EE">
        <w:rPr>
          <w:rFonts w:cs="Arial"/>
          <w:sz w:val="21"/>
          <w:szCs w:val="21"/>
        </w:rPr>
        <w:t xml:space="preserve">     </w:t>
      </w:r>
      <w:r w:rsidRPr="004F64EE">
        <w:rPr>
          <w:rFonts w:cs="Arial"/>
          <w:sz w:val="21"/>
          <w:szCs w:val="21"/>
        </w:rPr>
        <w:tab/>
        <w:t>In discharging its oversight responsibilities regarding the audit process, the Audit Committee reviewed and discussed the audited consolidated financial statements of the Company as of and for the year ended December 31, 2014, with Company management and Baker Tilly Virchow Krause, LLP ("Baker"), the independent auditors. The Audit Committee received the written disclosures and the letter from Baker required by applicable requirements of the Public Company Accounting Oversight Board regarding Baker’s communications with the Audit Committee concerning independence, and discussed with Baker any relationships which might impair that firm's independence from management and the Company and satisfied itself as to the auditors' independence. The Audit Committee reviewed and discussed with Baker all communications required by generally accepted auditing standards, including Statement on Auditing Standards No. 61, as amended (AICPA, Professional Standards, Vol. 1 AU section 380).</w:t>
      </w:r>
    </w:p>
    <w:p w14:paraId="23AB3DB1" w14:textId="77777777" w:rsidR="005216E6" w:rsidRDefault="005216E6" w:rsidP="00EB2EFB">
      <w:pPr>
        <w:spacing w:line="220" w:lineRule="exact"/>
        <w:jc w:val="both"/>
        <w:rPr>
          <w:rFonts w:cs="Arial"/>
          <w:sz w:val="22"/>
          <w:szCs w:val="22"/>
        </w:rPr>
      </w:pPr>
    </w:p>
    <w:p w14:paraId="23AB3DB2" w14:textId="77777777" w:rsidR="005216E6" w:rsidRPr="004F64EE" w:rsidRDefault="005216E6" w:rsidP="004F64EE">
      <w:pPr>
        <w:jc w:val="both"/>
        <w:rPr>
          <w:rFonts w:cs="Arial"/>
          <w:sz w:val="21"/>
          <w:szCs w:val="21"/>
        </w:rPr>
      </w:pPr>
      <w:r w:rsidRPr="004F64EE">
        <w:rPr>
          <w:rFonts w:cs="Arial"/>
          <w:sz w:val="21"/>
          <w:szCs w:val="21"/>
        </w:rPr>
        <w:t xml:space="preserve">     </w:t>
      </w:r>
      <w:r w:rsidRPr="004F64EE">
        <w:rPr>
          <w:rFonts w:cs="Arial"/>
          <w:sz w:val="21"/>
          <w:szCs w:val="21"/>
        </w:rPr>
        <w:tab/>
        <w:t xml:space="preserve">Based upon these reviews and discussions, the Audit Committee recommended to the </w:t>
      </w:r>
      <w:r w:rsidR="006F31D2" w:rsidRPr="004F64EE">
        <w:rPr>
          <w:rFonts w:cs="Arial"/>
          <w:sz w:val="21"/>
          <w:szCs w:val="21"/>
        </w:rPr>
        <w:t>Board</w:t>
      </w:r>
      <w:r w:rsidRPr="004F64EE">
        <w:rPr>
          <w:rFonts w:cs="Arial"/>
          <w:sz w:val="21"/>
          <w:szCs w:val="21"/>
        </w:rPr>
        <w:t xml:space="preserve">  that the Company's audited consolidated financial statements for the year ended December 31, 2014, be included in the Company's Annual Report on Form 10-K for the fiscal year ended December 31, 2014 for filing with the SEC.</w:t>
      </w:r>
    </w:p>
    <w:p w14:paraId="23AB3DB3" w14:textId="77777777" w:rsidR="005216E6" w:rsidRDefault="005216E6" w:rsidP="00EB2EFB">
      <w:pPr>
        <w:keepNext/>
        <w:spacing w:line="220" w:lineRule="exact"/>
        <w:jc w:val="both"/>
        <w:rPr>
          <w:rFonts w:cs="Arial"/>
          <w:sz w:val="22"/>
          <w:szCs w:val="22"/>
        </w:rPr>
      </w:pPr>
    </w:p>
    <w:p w14:paraId="23AB3DB4" w14:textId="77777777" w:rsidR="005216E6" w:rsidRPr="004F64EE" w:rsidRDefault="005216E6" w:rsidP="004F64EE">
      <w:pPr>
        <w:jc w:val="both"/>
        <w:rPr>
          <w:rFonts w:cs="Arial"/>
          <w:sz w:val="21"/>
          <w:szCs w:val="21"/>
        </w:rPr>
      </w:pPr>
      <w:r w:rsidRPr="004F64EE">
        <w:rPr>
          <w:rFonts w:cs="Arial"/>
          <w:sz w:val="21"/>
          <w:szCs w:val="21"/>
        </w:rPr>
        <w:t xml:space="preserve">                    /s/ Arthur M. Dresner               /s/ Andrew A. Boccone               /s/ Christopher W. Nolan, Sr.</w:t>
      </w:r>
    </w:p>
    <w:p w14:paraId="23AB3DB5" w14:textId="77777777" w:rsidR="005216E6" w:rsidRDefault="005216E6" w:rsidP="00EB2EFB">
      <w:pPr>
        <w:spacing w:line="220" w:lineRule="exact"/>
        <w:jc w:val="both"/>
        <w:rPr>
          <w:rFonts w:cs="Arial"/>
          <w:sz w:val="22"/>
          <w:szCs w:val="22"/>
        </w:rPr>
      </w:pPr>
    </w:p>
    <w:p w14:paraId="23AB3DB6" w14:textId="77777777" w:rsidR="005216E6" w:rsidRPr="004F64EE" w:rsidRDefault="005216E6" w:rsidP="00EB2EFB">
      <w:pPr>
        <w:jc w:val="both"/>
        <w:rPr>
          <w:rFonts w:cs="Arial"/>
          <w:sz w:val="21"/>
          <w:szCs w:val="21"/>
        </w:rPr>
      </w:pPr>
      <w:r w:rsidRPr="004F64EE">
        <w:rPr>
          <w:rFonts w:cs="Arial"/>
          <w:sz w:val="21"/>
          <w:szCs w:val="21"/>
        </w:rPr>
        <w:t xml:space="preserve">     </w:t>
      </w:r>
      <w:r w:rsidRPr="004F64EE">
        <w:rPr>
          <w:rFonts w:cs="Arial"/>
          <w:sz w:val="21"/>
          <w:szCs w:val="21"/>
        </w:rPr>
        <w:tab/>
        <w:t>The foregoing Audit Committee Report does not constitute soliciting material and shall not be deemed "filed" with the SEC, incorporated by reference into any other Company filing under the Securities Act of 1933 or the Exchange Act (except to the extent the Company specifically incorporates this Report by reference therein) or subject to the liabilities of Section 18 of the Exchange Act.</w:t>
      </w:r>
    </w:p>
    <w:p w14:paraId="23AB3DB7" w14:textId="77777777" w:rsidR="005216E6" w:rsidRDefault="005216E6" w:rsidP="00EB2EFB">
      <w:pPr>
        <w:jc w:val="both"/>
        <w:rPr>
          <w:rFonts w:cs="Arial"/>
          <w:sz w:val="22"/>
          <w:szCs w:val="22"/>
        </w:rPr>
      </w:pPr>
    </w:p>
    <w:p w14:paraId="23AB3DB8" w14:textId="77777777" w:rsidR="004F64EE" w:rsidRDefault="004F64EE" w:rsidP="00EB2EFB">
      <w:pPr>
        <w:jc w:val="both"/>
        <w:rPr>
          <w:rFonts w:cs="Arial"/>
          <w:sz w:val="22"/>
          <w:szCs w:val="22"/>
        </w:rPr>
      </w:pPr>
    </w:p>
    <w:p w14:paraId="23AB3DB9" w14:textId="77777777" w:rsidR="005216E6" w:rsidRDefault="005216E6" w:rsidP="00342DB7">
      <w:pPr>
        <w:jc w:val="center"/>
        <w:rPr>
          <w:rFonts w:cs="Arial"/>
          <w:b/>
          <w:bCs/>
          <w:color w:val="000000"/>
          <w:sz w:val="22"/>
          <w:szCs w:val="22"/>
          <w:lang w:eastAsia="en-US"/>
        </w:rPr>
      </w:pPr>
      <w:r w:rsidRPr="00342DB7">
        <w:rPr>
          <w:rFonts w:cs="Arial"/>
          <w:b/>
          <w:bCs/>
          <w:color w:val="000000"/>
          <w:sz w:val="22"/>
          <w:szCs w:val="22"/>
          <w:lang w:eastAsia="en-US"/>
        </w:rPr>
        <w:t xml:space="preserve">ADVISORY </w:t>
      </w:r>
      <w:r>
        <w:rPr>
          <w:rFonts w:cs="Arial"/>
          <w:b/>
          <w:bCs/>
          <w:color w:val="000000"/>
          <w:sz w:val="22"/>
          <w:szCs w:val="22"/>
          <w:lang w:eastAsia="en-US"/>
        </w:rPr>
        <w:t>VOTE</w:t>
      </w:r>
      <w:r w:rsidRPr="00342DB7">
        <w:rPr>
          <w:rFonts w:cs="Arial"/>
          <w:b/>
          <w:bCs/>
          <w:color w:val="000000"/>
          <w:sz w:val="22"/>
          <w:szCs w:val="22"/>
          <w:lang w:eastAsia="en-US"/>
        </w:rPr>
        <w:t xml:space="preserve"> </w:t>
      </w:r>
      <w:r>
        <w:rPr>
          <w:rFonts w:cs="Arial"/>
          <w:b/>
          <w:bCs/>
          <w:color w:val="000000"/>
          <w:sz w:val="22"/>
          <w:szCs w:val="22"/>
          <w:lang w:eastAsia="en-US"/>
        </w:rPr>
        <w:t>ON THE</w:t>
      </w:r>
      <w:r w:rsidRPr="00342DB7">
        <w:rPr>
          <w:rFonts w:cs="Arial"/>
          <w:b/>
          <w:bCs/>
          <w:color w:val="000000"/>
          <w:sz w:val="22"/>
          <w:szCs w:val="22"/>
          <w:lang w:eastAsia="en-US"/>
        </w:rPr>
        <w:t xml:space="preserve"> COMPENSATION</w:t>
      </w:r>
    </w:p>
    <w:p w14:paraId="23AB3DBA" w14:textId="77777777" w:rsidR="005216E6" w:rsidRDefault="005216E6" w:rsidP="005D6D0E">
      <w:pPr>
        <w:jc w:val="center"/>
        <w:rPr>
          <w:rFonts w:cs="Arial"/>
          <w:b/>
          <w:bCs/>
          <w:color w:val="000000"/>
          <w:sz w:val="22"/>
          <w:szCs w:val="22"/>
          <w:lang w:eastAsia="en-US"/>
        </w:rPr>
      </w:pPr>
      <w:r>
        <w:rPr>
          <w:rFonts w:cs="Arial"/>
          <w:b/>
          <w:bCs/>
          <w:color w:val="000000"/>
          <w:sz w:val="22"/>
          <w:szCs w:val="22"/>
          <w:lang w:eastAsia="en-US"/>
        </w:rPr>
        <w:t>PAID TO THE COMPANY’S NAMED EXECUTIVE OFFICERS</w:t>
      </w:r>
      <w:r w:rsidRPr="00342DB7">
        <w:rPr>
          <w:rFonts w:cs="Arial"/>
          <w:b/>
          <w:bCs/>
          <w:color w:val="000000"/>
          <w:sz w:val="22"/>
          <w:szCs w:val="22"/>
          <w:lang w:eastAsia="en-US"/>
        </w:rPr>
        <w:t> </w:t>
      </w:r>
    </w:p>
    <w:p w14:paraId="23AB3DBB" w14:textId="77777777" w:rsidR="005216E6" w:rsidRPr="00342DB7" w:rsidRDefault="005216E6" w:rsidP="005D6D0E">
      <w:pPr>
        <w:jc w:val="center"/>
        <w:rPr>
          <w:rFonts w:cs="Arial"/>
          <w:b/>
          <w:sz w:val="22"/>
          <w:szCs w:val="22"/>
        </w:rPr>
      </w:pPr>
    </w:p>
    <w:p w14:paraId="23AB3DBC" w14:textId="77777777" w:rsidR="005216E6" w:rsidRDefault="005216E6" w:rsidP="004F64EE">
      <w:pPr>
        <w:jc w:val="both"/>
        <w:rPr>
          <w:rFonts w:cs="Arial"/>
          <w:sz w:val="21"/>
          <w:szCs w:val="21"/>
        </w:rPr>
      </w:pPr>
      <w:r w:rsidRPr="004F64EE">
        <w:rPr>
          <w:rFonts w:cs="Arial"/>
          <w:sz w:val="21"/>
          <w:szCs w:val="21"/>
        </w:rPr>
        <w:t>        </w:t>
      </w:r>
      <w:r w:rsidRPr="004F64EE">
        <w:rPr>
          <w:rFonts w:cs="Arial"/>
          <w:sz w:val="21"/>
          <w:szCs w:val="21"/>
        </w:rPr>
        <w:tab/>
        <w:t xml:space="preserve">Section 14A of the Exchange Act requires the Company to periodically include in its proxy statements for meetings of stockholders at which directors are to be elected an advisory vote on named executive officer </w:t>
      </w:r>
      <w:r w:rsidRPr="004F64EE">
        <w:rPr>
          <w:rFonts w:cs="Arial"/>
          <w:sz w:val="21"/>
          <w:szCs w:val="21"/>
        </w:rPr>
        <w:lastRenderedPageBreak/>
        <w:t>compensation. Section 14A also requires the Company to include in its proxy statements at least every six years, an advisory vote regarding the frequency with which the advisory vote on named executive officer compensation should be held. The Board currently plans to seek an advisory vote on executive compensation every year. The advisory vote on the frequency of holding a non-binding advisory vote on compensation paid to the Company’s named executive officers was held at last year’s annual meeting of stockholders and the stockholders approved holding a vote on such matter every year. We are therefore including a proposal for our stockholders to vote to approve, on a nonbinding, advisory basis, the compensation of th</w:t>
      </w:r>
      <w:r w:rsidR="00047258">
        <w:rPr>
          <w:rFonts w:cs="Arial"/>
          <w:sz w:val="21"/>
          <w:szCs w:val="21"/>
        </w:rPr>
        <w:t xml:space="preserve">e </w:t>
      </w:r>
      <w:r w:rsidRPr="004F64EE">
        <w:rPr>
          <w:rFonts w:cs="Arial"/>
          <w:sz w:val="21"/>
          <w:szCs w:val="21"/>
        </w:rPr>
        <w:t>executive officers</w:t>
      </w:r>
      <w:r w:rsidR="00047258">
        <w:rPr>
          <w:rFonts w:cs="Arial"/>
          <w:sz w:val="21"/>
          <w:szCs w:val="21"/>
        </w:rPr>
        <w:t xml:space="preserve"> name</w:t>
      </w:r>
      <w:r w:rsidR="00FC1BA0">
        <w:rPr>
          <w:rFonts w:cs="Arial"/>
          <w:sz w:val="21"/>
          <w:szCs w:val="21"/>
        </w:rPr>
        <w:t>d</w:t>
      </w:r>
      <w:r w:rsidR="00047258">
        <w:rPr>
          <w:rFonts w:cs="Arial"/>
          <w:sz w:val="21"/>
          <w:szCs w:val="21"/>
        </w:rPr>
        <w:t xml:space="preserve"> in this proxy statement,</w:t>
      </w:r>
      <w:r w:rsidRPr="004F64EE">
        <w:rPr>
          <w:rFonts w:cs="Arial"/>
          <w:sz w:val="21"/>
          <w:szCs w:val="21"/>
        </w:rPr>
        <w:t xml:space="preserve"> pursuant to Item 402 of Regulation S-K.</w:t>
      </w:r>
    </w:p>
    <w:p w14:paraId="23AB3DBD" w14:textId="77777777" w:rsidR="005216E6" w:rsidRPr="004F64EE" w:rsidRDefault="005216E6" w:rsidP="00D02526">
      <w:pPr>
        <w:shd w:val="clear" w:color="auto" w:fill="FFFFFF"/>
        <w:suppressAutoHyphens w:val="0"/>
        <w:spacing w:before="100" w:beforeAutospacing="1" w:after="100" w:afterAutospacing="1"/>
        <w:jc w:val="both"/>
        <w:rPr>
          <w:rFonts w:cs="Arial"/>
          <w:color w:val="000000"/>
          <w:sz w:val="21"/>
          <w:szCs w:val="21"/>
          <w:lang w:eastAsia="en-US"/>
        </w:rPr>
      </w:pPr>
      <w:r w:rsidRPr="004F64EE">
        <w:rPr>
          <w:rFonts w:cs="Arial"/>
          <w:color w:val="000000"/>
          <w:sz w:val="21"/>
          <w:szCs w:val="21"/>
          <w:lang w:eastAsia="en-US"/>
        </w:rPr>
        <w:t>        </w:t>
      </w:r>
      <w:r w:rsidRPr="004F64EE">
        <w:rPr>
          <w:rFonts w:cs="Arial"/>
          <w:color w:val="000000"/>
          <w:sz w:val="21"/>
          <w:szCs w:val="21"/>
          <w:lang w:eastAsia="en-US"/>
        </w:rPr>
        <w:tab/>
        <w:t>Our executive compensation is designed to reward executive performance that contributes to our success and increases stockholder value, while encouraging behavior that is in our and our stockholders' long term best interests.</w:t>
      </w:r>
    </w:p>
    <w:p w14:paraId="23AB3DBE" w14:textId="77777777" w:rsidR="005216E6" w:rsidRPr="004F64EE" w:rsidRDefault="005216E6" w:rsidP="004F64EE">
      <w:pPr>
        <w:shd w:val="clear" w:color="auto" w:fill="FFFFFF"/>
        <w:suppressAutoHyphens w:val="0"/>
        <w:spacing w:before="100" w:beforeAutospacing="1" w:after="100" w:afterAutospacing="1"/>
        <w:jc w:val="both"/>
        <w:rPr>
          <w:rFonts w:cs="Arial"/>
          <w:color w:val="000000"/>
          <w:sz w:val="21"/>
          <w:szCs w:val="21"/>
          <w:lang w:eastAsia="en-US"/>
        </w:rPr>
      </w:pPr>
      <w:r w:rsidRPr="004F64EE">
        <w:rPr>
          <w:rFonts w:cs="Arial"/>
          <w:color w:val="000000"/>
          <w:sz w:val="21"/>
          <w:szCs w:val="21"/>
          <w:lang w:eastAsia="en-US"/>
        </w:rPr>
        <w:t>        </w:t>
      </w:r>
      <w:r w:rsidRPr="004F64EE">
        <w:rPr>
          <w:rFonts w:cs="Arial"/>
          <w:color w:val="000000"/>
          <w:sz w:val="21"/>
          <w:szCs w:val="21"/>
          <w:lang w:eastAsia="en-US"/>
        </w:rPr>
        <w:tab/>
        <w:t>We are asking you to vote to approve the adoption of the following resolution:</w:t>
      </w:r>
    </w:p>
    <w:p w14:paraId="23AB3DBF" w14:textId="77777777" w:rsidR="005216E6" w:rsidRPr="00342DB7" w:rsidRDefault="005216E6" w:rsidP="009330F6">
      <w:pPr>
        <w:shd w:val="clear" w:color="auto" w:fill="FFFFFF"/>
        <w:suppressAutoHyphens w:val="0"/>
        <w:spacing w:before="100" w:beforeAutospacing="1" w:after="100" w:afterAutospacing="1"/>
        <w:ind w:left="1440" w:right="1152"/>
        <w:jc w:val="both"/>
        <w:rPr>
          <w:rFonts w:cs="Arial"/>
          <w:color w:val="000000"/>
          <w:sz w:val="22"/>
          <w:szCs w:val="22"/>
          <w:lang w:eastAsia="en-US"/>
        </w:rPr>
      </w:pPr>
      <w:r w:rsidRPr="004F64EE">
        <w:rPr>
          <w:rFonts w:cs="Arial"/>
          <w:b/>
          <w:color w:val="000000"/>
          <w:sz w:val="21"/>
          <w:szCs w:val="21"/>
          <w:lang w:eastAsia="en-US"/>
        </w:rPr>
        <w:t>RESOLVED</w:t>
      </w:r>
      <w:r w:rsidRPr="004F64EE">
        <w:rPr>
          <w:rFonts w:cs="Arial"/>
          <w:color w:val="000000"/>
          <w:sz w:val="21"/>
          <w:szCs w:val="21"/>
          <w:lang w:eastAsia="en-US"/>
        </w:rPr>
        <w:t>: That the stockholders of the Company approve, on a nonbinding, advisory basis, the compensation paid to the Company's named executive officers, as disclosed pursuant to Item 402 of Regulation S-K</w:t>
      </w:r>
      <w:r w:rsidRPr="00342DB7">
        <w:rPr>
          <w:rFonts w:cs="Arial"/>
          <w:color w:val="000000"/>
          <w:sz w:val="22"/>
          <w:szCs w:val="22"/>
          <w:lang w:eastAsia="en-US"/>
        </w:rPr>
        <w:t>.</w:t>
      </w:r>
    </w:p>
    <w:p w14:paraId="23AB3DC0" w14:textId="77777777" w:rsidR="005216E6" w:rsidRPr="004F64EE" w:rsidRDefault="005216E6" w:rsidP="00D96BAC">
      <w:pPr>
        <w:shd w:val="clear" w:color="auto" w:fill="FFFFFF"/>
        <w:suppressAutoHyphens w:val="0"/>
        <w:spacing w:before="100" w:beforeAutospacing="1" w:after="100" w:afterAutospacing="1"/>
        <w:rPr>
          <w:rFonts w:cs="Arial"/>
          <w:color w:val="000000"/>
          <w:sz w:val="21"/>
          <w:szCs w:val="21"/>
          <w:lang w:eastAsia="en-US"/>
        </w:rPr>
      </w:pPr>
      <w:r w:rsidRPr="004F64EE">
        <w:rPr>
          <w:rFonts w:cs="Arial"/>
          <w:color w:val="000000"/>
          <w:sz w:val="21"/>
          <w:szCs w:val="21"/>
          <w:lang w:eastAsia="en-US"/>
        </w:rPr>
        <w:t xml:space="preserve">        </w:t>
      </w:r>
      <w:r w:rsidRPr="004F64EE">
        <w:rPr>
          <w:rFonts w:cs="Arial"/>
          <w:color w:val="000000"/>
          <w:sz w:val="21"/>
          <w:szCs w:val="21"/>
          <w:lang w:eastAsia="en-US"/>
        </w:rPr>
        <w:tab/>
        <w:t>The stockholder vote on the proposal to approve the compensation paid to the Company’s named executive officers is advisory and nonbinding, and serves only as a recommendation to our Board.</w:t>
      </w:r>
    </w:p>
    <w:p w14:paraId="23AB3DC1" w14:textId="77777777" w:rsidR="005216E6" w:rsidRPr="004F64EE" w:rsidRDefault="005216E6" w:rsidP="009330F6">
      <w:pPr>
        <w:shd w:val="clear" w:color="auto" w:fill="FFFFFF"/>
        <w:suppressAutoHyphens w:val="0"/>
        <w:spacing w:before="100" w:beforeAutospacing="1" w:after="100" w:afterAutospacing="1"/>
        <w:jc w:val="both"/>
        <w:rPr>
          <w:rFonts w:cs="Arial"/>
          <w:b/>
          <w:sz w:val="21"/>
          <w:szCs w:val="21"/>
        </w:rPr>
      </w:pPr>
      <w:r w:rsidRPr="004F64EE">
        <w:rPr>
          <w:rFonts w:cs="Arial"/>
          <w:color w:val="000000"/>
          <w:sz w:val="21"/>
          <w:szCs w:val="21"/>
          <w:lang w:eastAsia="en-US"/>
        </w:rPr>
        <w:t>        </w:t>
      </w:r>
      <w:r w:rsidRPr="004F64EE">
        <w:rPr>
          <w:rFonts w:cs="Arial"/>
          <w:color w:val="000000"/>
          <w:sz w:val="21"/>
          <w:szCs w:val="21"/>
          <w:lang w:eastAsia="en-US"/>
        </w:rPr>
        <w:tab/>
      </w:r>
      <w:r w:rsidRPr="004F64EE">
        <w:rPr>
          <w:rFonts w:cs="Arial"/>
          <w:b/>
          <w:bCs/>
          <w:color w:val="000000"/>
          <w:sz w:val="21"/>
          <w:szCs w:val="21"/>
          <w:lang w:eastAsia="en-US"/>
        </w:rPr>
        <w:t xml:space="preserve">The </w:t>
      </w:r>
      <w:r w:rsidR="006F31D2" w:rsidRPr="004F64EE">
        <w:rPr>
          <w:rFonts w:cs="Arial"/>
          <w:b/>
          <w:bCs/>
          <w:color w:val="000000"/>
          <w:sz w:val="21"/>
          <w:szCs w:val="21"/>
          <w:lang w:eastAsia="en-US"/>
        </w:rPr>
        <w:t>Board</w:t>
      </w:r>
      <w:r w:rsidRPr="004F64EE">
        <w:rPr>
          <w:rFonts w:cs="Arial"/>
          <w:b/>
          <w:bCs/>
          <w:color w:val="000000"/>
          <w:sz w:val="21"/>
          <w:szCs w:val="21"/>
          <w:lang w:eastAsia="en-US"/>
        </w:rPr>
        <w:t xml:space="preserve"> recommends that you vote "FOR" the proposal</w:t>
      </w:r>
      <w:r w:rsidRPr="004F64EE">
        <w:rPr>
          <w:rFonts w:cs="Arial"/>
          <w:bCs/>
          <w:color w:val="000000"/>
          <w:sz w:val="21"/>
          <w:szCs w:val="21"/>
          <w:lang w:eastAsia="en-US"/>
        </w:rPr>
        <w:t xml:space="preserve"> </w:t>
      </w:r>
      <w:r w:rsidRPr="004F64EE">
        <w:rPr>
          <w:rFonts w:cs="Arial"/>
          <w:b/>
          <w:color w:val="000000"/>
          <w:sz w:val="21"/>
          <w:szCs w:val="21"/>
          <w:lang w:eastAsia="en-US"/>
        </w:rPr>
        <w:t>to approve the compensation paid to the Company’s named executive officers</w:t>
      </w:r>
      <w:r w:rsidRPr="004F64EE">
        <w:rPr>
          <w:rFonts w:cs="Arial"/>
          <w:b/>
          <w:bCs/>
          <w:color w:val="000000"/>
          <w:sz w:val="21"/>
          <w:szCs w:val="21"/>
          <w:lang w:eastAsia="en-US"/>
        </w:rPr>
        <w:t>.</w:t>
      </w:r>
    </w:p>
    <w:p w14:paraId="23AB3DC2" w14:textId="77777777" w:rsidR="005216E6" w:rsidRDefault="005216E6" w:rsidP="002A1483">
      <w:pPr>
        <w:jc w:val="center"/>
        <w:rPr>
          <w:rFonts w:cs="Arial"/>
          <w:b/>
          <w:szCs w:val="24"/>
        </w:rPr>
      </w:pPr>
      <w:r>
        <w:rPr>
          <w:rFonts w:cs="Arial"/>
          <w:b/>
          <w:szCs w:val="24"/>
        </w:rPr>
        <w:t>COMPENSATION OF EXECUTIVE OFFICERS AND DIRECTORS</w:t>
      </w:r>
    </w:p>
    <w:p w14:paraId="23AB3DC3" w14:textId="77777777" w:rsidR="005216E6" w:rsidRDefault="005216E6" w:rsidP="00C76B7F">
      <w:pPr>
        <w:rPr>
          <w:rFonts w:cs="Arial"/>
          <w:b/>
          <w:szCs w:val="24"/>
        </w:rPr>
      </w:pPr>
    </w:p>
    <w:p w14:paraId="23AB3DC4" w14:textId="77777777" w:rsidR="005216E6" w:rsidRDefault="005216E6" w:rsidP="00C76B7F">
      <w:pPr>
        <w:jc w:val="center"/>
        <w:rPr>
          <w:rFonts w:cs="Arial"/>
          <w:b/>
          <w:sz w:val="22"/>
          <w:szCs w:val="22"/>
        </w:rPr>
      </w:pPr>
      <w:r>
        <w:rPr>
          <w:rFonts w:cs="Arial"/>
          <w:b/>
          <w:szCs w:val="24"/>
        </w:rPr>
        <w:t>Summary Compensation Tabl</w:t>
      </w:r>
      <w:r>
        <w:rPr>
          <w:rFonts w:cs="Arial"/>
          <w:b/>
          <w:sz w:val="22"/>
          <w:szCs w:val="22"/>
        </w:rPr>
        <w:t>e</w:t>
      </w:r>
    </w:p>
    <w:p w14:paraId="23AB3DC5" w14:textId="77777777" w:rsidR="005216E6" w:rsidRDefault="005216E6" w:rsidP="00C76B7F">
      <w:pPr>
        <w:jc w:val="center"/>
        <w:rPr>
          <w:rFonts w:cs="Arial"/>
          <w:b/>
          <w:sz w:val="22"/>
          <w:szCs w:val="22"/>
        </w:rPr>
      </w:pPr>
    </w:p>
    <w:p w14:paraId="23AB3DC6" w14:textId="77777777" w:rsidR="005216E6" w:rsidRDefault="005216E6" w:rsidP="00EB2EFB">
      <w:pPr>
        <w:keepNext/>
        <w:rPr>
          <w:rFonts w:cs="Arial"/>
          <w:b/>
          <w:sz w:val="22"/>
          <w:szCs w:val="22"/>
        </w:rPr>
      </w:pPr>
      <w:r w:rsidRPr="00690FAB">
        <w:rPr>
          <w:rFonts w:cs="Arial"/>
          <w:b/>
          <w:sz w:val="22"/>
          <w:szCs w:val="22"/>
        </w:rPr>
        <w:t>Executive Officers</w:t>
      </w:r>
      <w:r>
        <w:rPr>
          <w:rFonts w:cs="Arial"/>
          <w:b/>
          <w:sz w:val="22"/>
          <w:szCs w:val="22"/>
        </w:rPr>
        <w:br/>
      </w:r>
    </w:p>
    <w:p w14:paraId="23AB3DC7" w14:textId="77777777" w:rsidR="005216E6" w:rsidRPr="004F64EE" w:rsidRDefault="005216E6" w:rsidP="00EB2EFB">
      <w:pPr>
        <w:keepNext/>
        <w:jc w:val="both"/>
        <w:rPr>
          <w:rFonts w:cs="Arial"/>
          <w:sz w:val="21"/>
          <w:szCs w:val="21"/>
        </w:rPr>
      </w:pPr>
      <w:r w:rsidRPr="004F64EE">
        <w:rPr>
          <w:rFonts w:cs="Arial"/>
          <w:sz w:val="21"/>
          <w:szCs w:val="21"/>
        </w:rPr>
        <w:t xml:space="preserve">     </w:t>
      </w:r>
      <w:r w:rsidRPr="004F64EE">
        <w:rPr>
          <w:rFonts w:cs="Arial"/>
          <w:sz w:val="21"/>
          <w:szCs w:val="21"/>
        </w:rPr>
        <w:tab/>
        <w:t xml:space="preserve">The following table sets forth for the years ended December 31, 2013 and December 31, 2014 certain information concerning the compensation awarded to, earned by or paid to the Company's principal executive officer and the two most highly compensated executive officers other than the principal executive officer: </w:t>
      </w:r>
    </w:p>
    <w:p w14:paraId="23AB3DC8" w14:textId="77777777" w:rsidR="005216E6" w:rsidRDefault="005216E6" w:rsidP="00EB2EFB">
      <w:pPr>
        <w:keepNext/>
        <w:spacing w:line="200" w:lineRule="exact"/>
        <w:jc w:val="both"/>
        <w:rPr>
          <w:rFonts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20"/>
        <w:gridCol w:w="900"/>
        <w:gridCol w:w="900"/>
        <w:gridCol w:w="900"/>
        <w:gridCol w:w="900"/>
        <w:gridCol w:w="1080"/>
        <w:gridCol w:w="900"/>
        <w:gridCol w:w="990"/>
        <w:gridCol w:w="990"/>
      </w:tblGrid>
      <w:tr w:rsidR="005216E6" w14:paraId="23AB3E04" w14:textId="77777777" w:rsidTr="00E12E68">
        <w:trPr>
          <w:cantSplit/>
        </w:trPr>
        <w:tc>
          <w:tcPr>
            <w:tcW w:w="2160" w:type="dxa"/>
          </w:tcPr>
          <w:p w14:paraId="23AB3DC9" w14:textId="77777777" w:rsidR="005216E6" w:rsidRPr="00351673" w:rsidRDefault="005216E6" w:rsidP="00EB2EFB">
            <w:pPr>
              <w:keepNext/>
              <w:snapToGrid w:val="0"/>
              <w:rPr>
                <w:rFonts w:cs="Arial"/>
                <w:sz w:val="16"/>
                <w:szCs w:val="16"/>
              </w:rPr>
            </w:pPr>
          </w:p>
          <w:p w14:paraId="23AB3DCA" w14:textId="77777777" w:rsidR="005216E6" w:rsidRPr="00351673" w:rsidRDefault="005216E6" w:rsidP="00EB2EFB">
            <w:pPr>
              <w:keepNext/>
              <w:snapToGrid w:val="0"/>
              <w:rPr>
                <w:rFonts w:cs="Arial"/>
                <w:sz w:val="16"/>
                <w:szCs w:val="16"/>
              </w:rPr>
            </w:pPr>
          </w:p>
          <w:p w14:paraId="23AB3DCB" w14:textId="77777777" w:rsidR="005216E6" w:rsidRPr="00351673" w:rsidRDefault="005216E6" w:rsidP="00EB2EFB">
            <w:pPr>
              <w:keepNext/>
              <w:snapToGrid w:val="0"/>
              <w:rPr>
                <w:rFonts w:cs="Arial"/>
                <w:sz w:val="16"/>
                <w:szCs w:val="16"/>
              </w:rPr>
            </w:pPr>
          </w:p>
          <w:p w14:paraId="23AB3DCC" w14:textId="77777777" w:rsidR="005216E6" w:rsidRPr="00351673" w:rsidRDefault="005216E6" w:rsidP="00EB2EFB">
            <w:pPr>
              <w:keepNext/>
              <w:snapToGrid w:val="0"/>
              <w:rPr>
                <w:rFonts w:cs="Arial"/>
                <w:sz w:val="16"/>
                <w:szCs w:val="16"/>
              </w:rPr>
            </w:pPr>
          </w:p>
          <w:p w14:paraId="23AB3DCD" w14:textId="77777777" w:rsidR="005216E6" w:rsidRDefault="005216E6" w:rsidP="00EB2EFB">
            <w:pPr>
              <w:keepNext/>
              <w:snapToGrid w:val="0"/>
              <w:rPr>
                <w:rFonts w:cs="Arial"/>
                <w:sz w:val="16"/>
                <w:szCs w:val="16"/>
              </w:rPr>
            </w:pPr>
          </w:p>
          <w:p w14:paraId="23AB3DCE" w14:textId="77777777" w:rsidR="005216E6" w:rsidRPr="00351673" w:rsidRDefault="005216E6" w:rsidP="00EB2EFB">
            <w:pPr>
              <w:keepNext/>
              <w:snapToGrid w:val="0"/>
              <w:rPr>
                <w:rFonts w:cs="Arial"/>
                <w:sz w:val="16"/>
                <w:szCs w:val="16"/>
              </w:rPr>
            </w:pPr>
            <w:r w:rsidRPr="00351673">
              <w:rPr>
                <w:rFonts w:cs="Arial"/>
                <w:sz w:val="16"/>
                <w:szCs w:val="16"/>
              </w:rPr>
              <w:t>Name and principal position</w:t>
            </w:r>
          </w:p>
        </w:tc>
        <w:tc>
          <w:tcPr>
            <w:tcW w:w="720" w:type="dxa"/>
            <w:vAlign w:val="center"/>
          </w:tcPr>
          <w:p w14:paraId="23AB3DCF" w14:textId="77777777" w:rsidR="005216E6" w:rsidRDefault="005216E6" w:rsidP="00EB2EFB">
            <w:pPr>
              <w:keepNext/>
              <w:snapToGrid w:val="0"/>
              <w:rPr>
                <w:rFonts w:cs="Arial"/>
                <w:sz w:val="16"/>
                <w:szCs w:val="16"/>
              </w:rPr>
            </w:pPr>
          </w:p>
          <w:p w14:paraId="23AB3DD0" w14:textId="77777777" w:rsidR="005216E6" w:rsidRPr="00351673" w:rsidRDefault="005216E6" w:rsidP="00EB2EFB">
            <w:pPr>
              <w:keepNext/>
              <w:snapToGrid w:val="0"/>
              <w:rPr>
                <w:rFonts w:cs="Arial"/>
                <w:sz w:val="16"/>
                <w:szCs w:val="16"/>
              </w:rPr>
            </w:pPr>
          </w:p>
          <w:p w14:paraId="23AB3DD1" w14:textId="77777777" w:rsidR="005216E6" w:rsidRPr="00351673" w:rsidRDefault="005216E6" w:rsidP="00EB2EFB">
            <w:pPr>
              <w:keepNext/>
              <w:snapToGrid w:val="0"/>
              <w:rPr>
                <w:rFonts w:cs="Arial"/>
                <w:sz w:val="16"/>
                <w:szCs w:val="16"/>
              </w:rPr>
            </w:pPr>
          </w:p>
          <w:p w14:paraId="23AB3DD2" w14:textId="77777777" w:rsidR="005216E6" w:rsidRDefault="005216E6" w:rsidP="00EB2EFB">
            <w:pPr>
              <w:keepNext/>
              <w:snapToGrid w:val="0"/>
              <w:rPr>
                <w:rFonts w:cs="Arial"/>
                <w:sz w:val="16"/>
                <w:szCs w:val="16"/>
              </w:rPr>
            </w:pPr>
          </w:p>
          <w:p w14:paraId="23AB3DD3" w14:textId="77777777" w:rsidR="005216E6" w:rsidRPr="00351673" w:rsidRDefault="005216E6" w:rsidP="00EB2EFB">
            <w:pPr>
              <w:keepNext/>
              <w:snapToGrid w:val="0"/>
              <w:rPr>
                <w:rFonts w:cs="Arial"/>
                <w:sz w:val="16"/>
                <w:szCs w:val="16"/>
              </w:rPr>
            </w:pPr>
            <w:r w:rsidRPr="00351673">
              <w:rPr>
                <w:rFonts w:cs="Arial"/>
                <w:sz w:val="16"/>
                <w:szCs w:val="16"/>
              </w:rPr>
              <w:t>Year</w:t>
            </w:r>
          </w:p>
          <w:p w14:paraId="23AB3DD4" w14:textId="77777777" w:rsidR="005216E6" w:rsidRPr="00351673" w:rsidRDefault="005216E6" w:rsidP="00EB2EFB">
            <w:pPr>
              <w:keepNext/>
              <w:snapToGrid w:val="0"/>
              <w:rPr>
                <w:rFonts w:cs="Arial"/>
                <w:sz w:val="16"/>
                <w:szCs w:val="16"/>
              </w:rPr>
            </w:pPr>
          </w:p>
        </w:tc>
        <w:tc>
          <w:tcPr>
            <w:tcW w:w="900" w:type="dxa"/>
            <w:vAlign w:val="center"/>
          </w:tcPr>
          <w:p w14:paraId="23AB3DD5" w14:textId="77777777" w:rsidR="005216E6" w:rsidRPr="00351673" w:rsidRDefault="005216E6" w:rsidP="00EB2EFB">
            <w:pPr>
              <w:keepNext/>
              <w:snapToGrid w:val="0"/>
              <w:jc w:val="center"/>
              <w:rPr>
                <w:rFonts w:cs="Arial"/>
                <w:sz w:val="16"/>
                <w:szCs w:val="16"/>
              </w:rPr>
            </w:pPr>
          </w:p>
          <w:p w14:paraId="23AB3DD6" w14:textId="77777777" w:rsidR="005216E6" w:rsidRDefault="005216E6" w:rsidP="00EB2EFB">
            <w:pPr>
              <w:keepNext/>
              <w:snapToGrid w:val="0"/>
              <w:jc w:val="center"/>
              <w:rPr>
                <w:rFonts w:cs="Arial"/>
                <w:sz w:val="16"/>
                <w:szCs w:val="16"/>
              </w:rPr>
            </w:pPr>
          </w:p>
          <w:p w14:paraId="23AB3DD7" w14:textId="77777777" w:rsidR="005216E6" w:rsidRPr="00351673" w:rsidRDefault="005216E6" w:rsidP="00EB2EFB">
            <w:pPr>
              <w:keepNext/>
              <w:snapToGrid w:val="0"/>
              <w:jc w:val="center"/>
              <w:rPr>
                <w:rFonts w:cs="Arial"/>
                <w:sz w:val="16"/>
                <w:szCs w:val="16"/>
              </w:rPr>
            </w:pPr>
          </w:p>
          <w:p w14:paraId="23AB3DD8" w14:textId="77777777" w:rsidR="005216E6" w:rsidRPr="00351673" w:rsidRDefault="005216E6" w:rsidP="00EB2EFB">
            <w:pPr>
              <w:keepNext/>
              <w:snapToGrid w:val="0"/>
              <w:jc w:val="center"/>
              <w:rPr>
                <w:rFonts w:cs="Arial"/>
                <w:sz w:val="16"/>
                <w:szCs w:val="16"/>
              </w:rPr>
            </w:pPr>
          </w:p>
          <w:p w14:paraId="23AB3DD9" w14:textId="77777777" w:rsidR="005216E6" w:rsidRDefault="005216E6" w:rsidP="00EB2EFB">
            <w:pPr>
              <w:keepNext/>
              <w:snapToGrid w:val="0"/>
              <w:jc w:val="center"/>
              <w:rPr>
                <w:rFonts w:cs="Arial"/>
                <w:sz w:val="16"/>
                <w:szCs w:val="16"/>
              </w:rPr>
            </w:pPr>
          </w:p>
          <w:p w14:paraId="23AB3DDA" w14:textId="77777777" w:rsidR="005216E6" w:rsidRPr="00351673" w:rsidRDefault="005216E6" w:rsidP="00EB2EFB">
            <w:pPr>
              <w:keepNext/>
              <w:snapToGrid w:val="0"/>
              <w:jc w:val="center"/>
              <w:rPr>
                <w:rFonts w:cs="Arial"/>
                <w:sz w:val="16"/>
                <w:szCs w:val="16"/>
              </w:rPr>
            </w:pPr>
            <w:r w:rsidRPr="00351673">
              <w:rPr>
                <w:rFonts w:cs="Arial"/>
                <w:sz w:val="16"/>
                <w:szCs w:val="16"/>
              </w:rPr>
              <w:t>Salary ($)</w:t>
            </w:r>
          </w:p>
          <w:p w14:paraId="23AB3DDB" w14:textId="77777777" w:rsidR="005216E6" w:rsidRPr="00351673" w:rsidRDefault="005216E6" w:rsidP="00EB2EFB">
            <w:pPr>
              <w:keepNext/>
              <w:snapToGrid w:val="0"/>
              <w:jc w:val="center"/>
              <w:rPr>
                <w:rFonts w:cs="Arial"/>
                <w:sz w:val="16"/>
                <w:szCs w:val="16"/>
              </w:rPr>
            </w:pPr>
          </w:p>
        </w:tc>
        <w:tc>
          <w:tcPr>
            <w:tcW w:w="900" w:type="dxa"/>
            <w:vAlign w:val="center"/>
          </w:tcPr>
          <w:p w14:paraId="23AB3DDC" w14:textId="77777777" w:rsidR="005216E6" w:rsidRPr="00351673" w:rsidRDefault="005216E6" w:rsidP="00EB2EFB">
            <w:pPr>
              <w:keepNext/>
              <w:snapToGrid w:val="0"/>
              <w:jc w:val="center"/>
              <w:rPr>
                <w:rFonts w:cs="Arial"/>
                <w:sz w:val="16"/>
                <w:szCs w:val="16"/>
              </w:rPr>
            </w:pPr>
          </w:p>
          <w:p w14:paraId="23AB3DDD" w14:textId="77777777" w:rsidR="005216E6" w:rsidRDefault="005216E6" w:rsidP="00EB2EFB">
            <w:pPr>
              <w:keepNext/>
              <w:snapToGrid w:val="0"/>
              <w:jc w:val="center"/>
              <w:rPr>
                <w:rFonts w:cs="Arial"/>
                <w:sz w:val="16"/>
                <w:szCs w:val="16"/>
              </w:rPr>
            </w:pPr>
          </w:p>
          <w:p w14:paraId="23AB3DDE" w14:textId="77777777" w:rsidR="005216E6" w:rsidRPr="00351673" w:rsidRDefault="005216E6" w:rsidP="00EB2EFB">
            <w:pPr>
              <w:keepNext/>
              <w:snapToGrid w:val="0"/>
              <w:jc w:val="center"/>
              <w:rPr>
                <w:rFonts w:cs="Arial"/>
                <w:sz w:val="16"/>
                <w:szCs w:val="16"/>
              </w:rPr>
            </w:pPr>
          </w:p>
          <w:p w14:paraId="23AB3DDF" w14:textId="77777777" w:rsidR="005216E6" w:rsidRPr="00351673" w:rsidRDefault="005216E6" w:rsidP="00EB2EFB">
            <w:pPr>
              <w:keepNext/>
              <w:snapToGrid w:val="0"/>
              <w:jc w:val="center"/>
              <w:rPr>
                <w:rFonts w:cs="Arial"/>
                <w:sz w:val="16"/>
                <w:szCs w:val="16"/>
              </w:rPr>
            </w:pPr>
          </w:p>
          <w:p w14:paraId="23AB3DE0" w14:textId="77777777" w:rsidR="005216E6" w:rsidRDefault="005216E6" w:rsidP="00EB2EFB">
            <w:pPr>
              <w:keepNext/>
              <w:snapToGrid w:val="0"/>
              <w:jc w:val="center"/>
              <w:rPr>
                <w:rFonts w:cs="Arial"/>
                <w:sz w:val="16"/>
                <w:szCs w:val="16"/>
              </w:rPr>
            </w:pPr>
          </w:p>
          <w:p w14:paraId="23AB3DE1" w14:textId="77777777" w:rsidR="005216E6" w:rsidRPr="00351673" w:rsidRDefault="005216E6" w:rsidP="00EB2EFB">
            <w:pPr>
              <w:keepNext/>
              <w:snapToGrid w:val="0"/>
              <w:jc w:val="center"/>
              <w:rPr>
                <w:rFonts w:cs="Arial"/>
                <w:sz w:val="16"/>
                <w:szCs w:val="16"/>
              </w:rPr>
            </w:pPr>
            <w:r w:rsidRPr="00351673">
              <w:rPr>
                <w:rFonts w:cs="Arial"/>
                <w:sz w:val="16"/>
                <w:szCs w:val="16"/>
              </w:rPr>
              <w:t>Bonus ($)</w:t>
            </w:r>
          </w:p>
          <w:p w14:paraId="23AB3DE2" w14:textId="77777777" w:rsidR="005216E6" w:rsidRPr="00351673" w:rsidRDefault="005216E6" w:rsidP="00EB2EFB">
            <w:pPr>
              <w:keepNext/>
              <w:snapToGrid w:val="0"/>
              <w:jc w:val="center"/>
              <w:rPr>
                <w:rFonts w:cs="Arial"/>
                <w:sz w:val="16"/>
                <w:szCs w:val="16"/>
              </w:rPr>
            </w:pPr>
          </w:p>
        </w:tc>
        <w:tc>
          <w:tcPr>
            <w:tcW w:w="900" w:type="dxa"/>
            <w:vAlign w:val="center"/>
          </w:tcPr>
          <w:p w14:paraId="23AB3DE3" w14:textId="77777777" w:rsidR="005216E6" w:rsidRDefault="005216E6" w:rsidP="00EB2EFB">
            <w:pPr>
              <w:keepNext/>
              <w:snapToGrid w:val="0"/>
              <w:jc w:val="center"/>
              <w:rPr>
                <w:rFonts w:cs="Arial"/>
                <w:sz w:val="16"/>
                <w:szCs w:val="16"/>
              </w:rPr>
            </w:pPr>
          </w:p>
          <w:p w14:paraId="23AB3DE4" w14:textId="77777777" w:rsidR="005216E6" w:rsidRPr="00351673" w:rsidRDefault="005216E6" w:rsidP="00EB2EFB">
            <w:pPr>
              <w:keepNext/>
              <w:snapToGrid w:val="0"/>
              <w:jc w:val="center"/>
              <w:rPr>
                <w:rFonts w:cs="Arial"/>
                <w:sz w:val="16"/>
                <w:szCs w:val="16"/>
              </w:rPr>
            </w:pPr>
          </w:p>
          <w:p w14:paraId="23AB3DE5" w14:textId="77777777" w:rsidR="005216E6" w:rsidRPr="00351673" w:rsidRDefault="005216E6" w:rsidP="00EB2EFB">
            <w:pPr>
              <w:keepNext/>
              <w:snapToGrid w:val="0"/>
              <w:jc w:val="center"/>
              <w:rPr>
                <w:rFonts w:cs="Arial"/>
                <w:sz w:val="16"/>
                <w:szCs w:val="16"/>
              </w:rPr>
            </w:pPr>
          </w:p>
          <w:p w14:paraId="23AB3DE6" w14:textId="77777777" w:rsidR="005216E6" w:rsidRDefault="005216E6" w:rsidP="00EB2EFB">
            <w:pPr>
              <w:keepNext/>
              <w:snapToGrid w:val="0"/>
              <w:jc w:val="center"/>
              <w:rPr>
                <w:rFonts w:cs="Arial"/>
                <w:sz w:val="16"/>
                <w:szCs w:val="16"/>
              </w:rPr>
            </w:pPr>
          </w:p>
          <w:p w14:paraId="23AB3DE7" w14:textId="77777777" w:rsidR="005216E6" w:rsidRPr="00351673" w:rsidRDefault="005216E6" w:rsidP="00EB2EFB">
            <w:pPr>
              <w:keepNext/>
              <w:snapToGrid w:val="0"/>
              <w:jc w:val="center"/>
              <w:rPr>
                <w:rFonts w:cs="Arial"/>
                <w:sz w:val="16"/>
                <w:szCs w:val="16"/>
              </w:rPr>
            </w:pPr>
            <w:r w:rsidRPr="00351673">
              <w:rPr>
                <w:rFonts w:cs="Arial"/>
                <w:sz w:val="16"/>
                <w:szCs w:val="16"/>
              </w:rPr>
              <w:t>Stock awards ($)</w:t>
            </w:r>
          </w:p>
          <w:p w14:paraId="23AB3DE8" w14:textId="77777777" w:rsidR="005216E6" w:rsidRPr="00351673" w:rsidRDefault="005216E6" w:rsidP="00EB2EFB">
            <w:pPr>
              <w:keepNext/>
              <w:snapToGrid w:val="0"/>
              <w:jc w:val="center"/>
              <w:rPr>
                <w:rFonts w:cs="Arial"/>
                <w:sz w:val="16"/>
                <w:szCs w:val="16"/>
              </w:rPr>
            </w:pPr>
          </w:p>
        </w:tc>
        <w:tc>
          <w:tcPr>
            <w:tcW w:w="900" w:type="dxa"/>
            <w:vAlign w:val="center"/>
          </w:tcPr>
          <w:p w14:paraId="23AB3DE9" w14:textId="77777777" w:rsidR="005216E6" w:rsidRDefault="005216E6" w:rsidP="00EB2EFB">
            <w:pPr>
              <w:keepNext/>
              <w:snapToGrid w:val="0"/>
              <w:jc w:val="center"/>
              <w:rPr>
                <w:rFonts w:cs="Arial"/>
                <w:sz w:val="16"/>
                <w:szCs w:val="16"/>
              </w:rPr>
            </w:pPr>
          </w:p>
          <w:p w14:paraId="23AB3DEA" w14:textId="77777777" w:rsidR="005216E6" w:rsidRPr="00351673" w:rsidRDefault="005216E6" w:rsidP="00EB2EFB">
            <w:pPr>
              <w:keepNext/>
              <w:snapToGrid w:val="0"/>
              <w:jc w:val="center"/>
              <w:rPr>
                <w:rFonts w:cs="Arial"/>
                <w:sz w:val="16"/>
                <w:szCs w:val="16"/>
              </w:rPr>
            </w:pPr>
          </w:p>
          <w:p w14:paraId="23AB3DEB" w14:textId="77777777" w:rsidR="005216E6" w:rsidRPr="00351673" w:rsidRDefault="005216E6" w:rsidP="00EB2EFB">
            <w:pPr>
              <w:keepNext/>
              <w:snapToGrid w:val="0"/>
              <w:jc w:val="center"/>
              <w:rPr>
                <w:rFonts w:cs="Arial"/>
                <w:sz w:val="16"/>
                <w:szCs w:val="16"/>
              </w:rPr>
            </w:pPr>
          </w:p>
          <w:p w14:paraId="23AB3DEC" w14:textId="77777777" w:rsidR="005216E6" w:rsidRDefault="005216E6" w:rsidP="00EB2EFB">
            <w:pPr>
              <w:keepNext/>
              <w:snapToGrid w:val="0"/>
              <w:jc w:val="center"/>
              <w:rPr>
                <w:rFonts w:cs="Arial"/>
                <w:sz w:val="16"/>
                <w:szCs w:val="16"/>
              </w:rPr>
            </w:pPr>
          </w:p>
          <w:p w14:paraId="23AB3DED" w14:textId="77777777" w:rsidR="005216E6" w:rsidRPr="00351673" w:rsidRDefault="005216E6" w:rsidP="00EB2EFB">
            <w:pPr>
              <w:keepNext/>
              <w:snapToGrid w:val="0"/>
              <w:jc w:val="center"/>
              <w:rPr>
                <w:rFonts w:cs="Arial"/>
                <w:sz w:val="16"/>
                <w:szCs w:val="16"/>
              </w:rPr>
            </w:pPr>
            <w:r w:rsidRPr="00351673">
              <w:rPr>
                <w:rFonts w:cs="Arial"/>
                <w:sz w:val="16"/>
                <w:szCs w:val="16"/>
              </w:rPr>
              <w:t>Option awards ($)</w:t>
            </w:r>
          </w:p>
          <w:p w14:paraId="23AB3DEE" w14:textId="77777777" w:rsidR="005216E6" w:rsidRPr="00351673" w:rsidRDefault="005216E6" w:rsidP="00EB2EFB">
            <w:pPr>
              <w:keepNext/>
              <w:snapToGrid w:val="0"/>
              <w:jc w:val="center"/>
              <w:rPr>
                <w:rFonts w:cs="Arial"/>
                <w:sz w:val="16"/>
                <w:szCs w:val="16"/>
              </w:rPr>
            </w:pPr>
          </w:p>
        </w:tc>
        <w:tc>
          <w:tcPr>
            <w:tcW w:w="1080" w:type="dxa"/>
            <w:vAlign w:val="center"/>
          </w:tcPr>
          <w:p w14:paraId="23AB3DEF" w14:textId="77777777" w:rsidR="005216E6" w:rsidRDefault="005216E6" w:rsidP="00EB2EFB">
            <w:pPr>
              <w:keepNext/>
              <w:snapToGrid w:val="0"/>
              <w:jc w:val="center"/>
              <w:rPr>
                <w:rFonts w:cs="Arial"/>
                <w:sz w:val="16"/>
                <w:szCs w:val="16"/>
              </w:rPr>
            </w:pPr>
          </w:p>
          <w:p w14:paraId="23AB3DF0" w14:textId="77777777" w:rsidR="005216E6" w:rsidRPr="00351673" w:rsidRDefault="005216E6" w:rsidP="00EB2EFB">
            <w:pPr>
              <w:keepNext/>
              <w:snapToGrid w:val="0"/>
              <w:jc w:val="center"/>
              <w:rPr>
                <w:rFonts w:cs="Arial"/>
                <w:sz w:val="16"/>
                <w:szCs w:val="16"/>
              </w:rPr>
            </w:pPr>
            <w:r w:rsidRPr="00351673">
              <w:rPr>
                <w:rFonts w:cs="Arial"/>
                <w:sz w:val="16"/>
                <w:szCs w:val="16"/>
              </w:rPr>
              <w:t>Non-equity incentive plan compen-sation</w:t>
            </w:r>
          </w:p>
          <w:p w14:paraId="23AB3DF1" w14:textId="77777777" w:rsidR="005216E6" w:rsidRPr="00351673" w:rsidRDefault="005216E6" w:rsidP="00EB2EFB">
            <w:pPr>
              <w:keepNext/>
              <w:snapToGrid w:val="0"/>
              <w:jc w:val="center"/>
              <w:rPr>
                <w:rFonts w:cs="Arial"/>
                <w:sz w:val="16"/>
                <w:szCs w:val="16"/>
              </w:rPr>
            </w:pPr>
            <w:r w:rsidRPr="00351673">
              <w:rPr>
                <w:rFonts w:cs="Arial"/>
                <w:sz w:val="16"/>
                <w:szCs w:val="16"/>
              </w:rPr>
              <w:t xml:space="preserve"> ($)</w:t>
            </w:r>
          </w:p>
          <w:p w14:paraId="23AB3DF2" w14:textId="77777777" w:rsidR="005216E6" w:rsidRPr="00351673" w:rsidRDefault="005216E6" w:rsidP="00EB2EFB">
            <w:pPr>
              <w:keepNext/>
              <w:snapToGrid w:val="0"/>
              <w:jc w:val="center"/>
              <w:rPr>
                <w:rFonts w:cs="Arial"/>
                <w:sz w:val="16"/>
                <w:szCs w:val="16"/>
              </w:rPr>
            </w:pPr>
          </w:p>
        </w:tc>
        <w:tc>
          <w:tcPr>
            <w:tcW w:w="900" w:type="dxa"/>
            <w:vAlign w:val="center"/>
          </w:tcPr>
          <w:p w14:paraId="23AB3DF3" w14:textId="77777777" w:rsidR="005216E6" w:rsidRPr="00351673" w:rsidRDefault="005216E6" w:rsidP="00EB2EFB">
            <w:pPr>
              <w:keepNext/>
              <w:snapToGrid w:val="0"/>
              <w:jc w:val="center"/>
              <w:rPr>
                <w:rFonts w:cs="Arial"/>
                <w:sz w:val="16"/>
                <w:szCs w:val="16"/>
              </w:rPr>
            </w:pPr>
            <w:r w:rsidRPr="00351673">
              <w:rPr>
                <w:rFonts w:cs="Arial"/>
                <w:sz w:val="16"/>
                <w:szCs w:val="16"/>
              </w:rPr>
              <w:t xml:space="preserve">Non-qualified deferred compen-sation earnings </w:t>
            </w:r>
          </w:p>
          <w:p w14:paraId="23AB3DF4" w14:textId="77777777" w:rsidR="005216E6" w:rsidRPr="00351673" w:rsidRDefault="005216E6" w:rsidP="00EB2EFB">
            <w:pPr>
              <w:keepNext/>
              <w:snapToGrid w:val="0"/>
              <w:jc w:val="center"/>
              <w:rPr>
                <w:rFonts w:cs="Arial"/>
                <w:sz w:val="16"/>
                <w:szCs w:val="16"/>
              </w:rPr>
            </w:pPr>
            <w:r w:rsidRPr="00351673">
              <w:rPr>
                <w:rFonts w:cs="Arial"/>
                <w:sz w:val="16"/>
                <w:szCs w:val="16"/>
              </w:rPr>
              <w:t>($)</w:t>
            </w:r>
          </w:p>
          <w:p w14:paraId="23AB3DF5" w14:textId="77777777" w:rsidR="005216E6" w:rsidRPr="00351673" w:rsidRDefault="005216E6" w:rsidP="00EB2EFB">
            <w:pPr>
              <w:keepNext/>
              <w:snapToGrid w:val="0"/>
              <w:jc w:val="center"/>
              <w:rPr>
                <w:rFonts w:cs="Arial"/>
                <w:sz w:val="16"/>
                <w:szCs w:val="16"/>
              </w:rPr>
            </w:pPr>
          </w:p>
        </w:tc>
        <w:tc>
          <w:tcPr>
            <w:tcW w:w="990" w:type="dxa"/>
            <w:vAlign w:val="center"/>
          </w:tcPr>
          <w:p w14:paraId="23AB3DF6" w14:textId="77777777" w:rsidR="005216E6" w:rsidRDefault="005216E6" w:rsidP="00EB2EFB">
            <w:pPr>
              <w:keepNext/>
              <w:snapToGrid w:val="0"/>
              <w:jc w:val="center"/>
              <w:rPr>
                <w:rFonts w:cs="Arial"/>
                <w:sz w:val="16"/>
                <w:szCs w:val="16"/>
              </w:rPr>
            </w:pPr>
          </w:p>
          <w:p w14:paraId="23AB3DF7" w14:textId="77777777" w:rsidR="005216E6" w:rsidRPr="00351673" w:rsidRDefault="005216E6" w:rsidP="00EB2EFB">
            <w:pPr>
              <w:keepNext/>
              <w:snapToGrid w:val="0"/>
              <w:jc w:val="center"/>
              <w:rPr>
                <w:rFonts w:cs="Arial"/>
                <w:sz w:val="16"/>
                <w:szCs w:val="16"/>
              </w:rPr>
            </w:pPr>
          </w:p>
          <w:p w14:paraId="23AB3DF8" w14:textId="77777777" w:rsidR="005216E6" w:rsidRPr="00351673" w:rsidRDefault="005216E6" w:rsidP="00EB2EFB">
            <w:pPr>
              <w:keepNext/>
              <w:snapToGrid w:val="0"/>
              <w:jc w:val="center"/>
              <w:rPr>
                <w:rFonts w:cs="Arial"/>
                <w:sz w:val="16"/>
                <w:szCs w:val="16"/>
              </w:rPr>
            </w:pPr>
          </w:p>
          <w:p w14:paraId="23AB3DF9" w14:textId="77777777" w:rsidR="005216E6" w:rsidRPr="00351673" w:rsidRDefault="005216E6" w:rsidP="00EB2EFB">
            <w:pPr>
              <w:keepNext/>
              <w:snapToGrid w:val="0"/>
              <w:jc w:val="center"/>
              <w:rPr>
                <w:rFonts w:cs="Arial"/>
                <w:sz w:val="16"/>
                <w:szCs w:val="16"/>
              </w:rPr>
            </w:pPr>
            <w:r w:rsidRPr="00351673">
              <w:rPr>
                <w:rFonts w:cs="Arial"/>
                <w:sz w:val="16"/>
                <w:szCs w:val="16"/>
              </w:rPr>
              <w:t xml:space="preserve">All other compen-sation* </w:t>
            </w:r>
          </w:p>
          <w:p w14:paraId="23AB3DFA" w14:textId="77777777" w:rsidR="005216E6" w:rsidRPr="00351673" w:rsidRDefault="005216E6" w:rsidP="00EB2EFB">
            <w:pPr>
              <w:keepNext/>
              <w:snapToGrid w:val="0"/>
              <w:jc w:val="center"/>
              <w:rPr>
                <w:rFonts w:cs="Arial"/>
                <w:sz w:val="16"/>
                <w:szCs w:val="16"/>
              </w:rPr>
            </w:pPr>
            <w:r w:rsidRPr="00351673">
              <w:rPr>
                <w:rFonts w:cs="Arial"/>
                <w:sz w:val="16"/>
                <w:szCs w:val="16"/>
              </w:rPr>
              <w:t>($)</w:t>
            </w:r>
          </w:p>
          <w:p w14:paraId="23AB3DFB" w14:textId="77777777" w:rsidR="005216E6" w:rsidRPr="00351673" w:rsidRDefault="005216E6" w:rsidP="00EB2EFB">
            <w:pPr>
              <w:keepNext/>
              <w:snapToGrid w:val="0"/>
              <w:jc w:val="center"/>
              <w:rPr>
                <w:rFonts w:cs="Arial"/>
                <w:sz w:val="16"/>
                <w:szCs w:val="16"/>
              </w:rPr>
            </w:pPr>
          </w:p>
        </w:tc>
        <w:tc>
          <w:tcPr>
            <w:tcW w:w="990" w:type="dxa"/>
            <w:vAlign w:val="center"/>
          </w:tcPr>
          <w:p w14:paraId="23AB3DFC" w14:textId="77777777" w:rsidR="005216E6" w:rsidRDefault="005216E6" w:rsidP="00EB2EFB">
            <w:pPr>
              <w:keepNext/>
              <w:snapToGrid w:val="0"/>
              <w:jc w:val="center"/>
              <w:rPr>
                <w:rFonts w:cs="Arial"/>
                <w:sz w:val="16"/>
                <w:szCs w:val="16"/>
              </w:rPr>
            </w:pPr>
          </w:p>
          <w:p w14:paraId="23AB3DFD" w14:textId="77777777" w:rsidR="005216E6" w:rsidRPr="00351673" w:rsidRDefault="005216E6" w:rsidP="00EB2EFB">
            <w:pPr>
              <w:keepNext/>
              <w:snapToGrid w:val="0"/>
              <w:jc w:val="center"/>
              <w:rPr>
                <w:rFonts w:cs="Arial"/>
                <w:sz w:val="16"/>
                <w:szCs w:val="16"/>
              </w:rPr>
            </w:pPr>
          </w:p>
          <w:p w14:paraId="23AB3DFE" w14:textId="77777777" w:rsidR="005216E6" w:rsidRPr="00351673" w:rsidRDefault="005216E6" w:rsidP="00EB2EFB">
            <w:pPr>
              <w:keepNext/>
              <w:snapToGrid w:val="0"/>
              <w:jc w:val="center"/>
              <w:rPr>
                <w:rFonts w:cs="Arial"/>
                <w:sz w:val="16"/>
                <w:szCs w:val="16"/>
              </w:rPr>
            </w:pPr>
          </w:p>
          <w:p w14:paraId="23AB3DFF" w14:textId="77777777" w:rsidR="005216E6" w:rsidRPr="00351673" w:rsidRDefault="005216E6" w:rsidP="00EB2EFB">
            <w:pPr>
              <w:keepNext/>
              <w:snapToGrid w:val="0"/>
              <w:jc w:val="center"/>
              <w:rPr>
                <w:rFonts w:cs="Arial"/>
                <w:sz w:val="16"/>
                <w:szCs w:val="16"/>
              </w:rPr>
            </w:pPr>
          </w:p>
          <w:p w14:paraId="23AB3E00" w14:textId="77777777" w:rsidR="005216E6" w:rsidRPr="00351673" w:rsidRDefault="005216E6" w:rsidP="00EB2EFB">
            <w:pPr>
              <w:keepNext/>
              <w:snapToGrid w:val="0"/>
              <w:jc w:val="center"/>
              <w:rPr>
                <w:rFonts w:cs="Arial"/>
                <w:sz w:val="16"/>
                <w:szCs w:val="16"/>
              </w:rPr>
            </w:pPr>
          </w:p>
          <w:p w14:paraId="23AB3E01" w14:textId="77777777" w:rsidR="005216E6" w:rsidRPr="00351673" w:rsidRDefault="005216E6" w:rsidP="00EB2EFB">
            <w:pPr>
              <w:keepNext/>
              <w:snapToGrid w:val="0"/>
              <w:jc w:val="center"/>
              <w:rPr>
                <w:rFonts w:cs="Arial"/>
                <w:sz w:val="16"/>
                <w:szCs w:val="16"/>
              </w:rPr>
            </w:pPr>
            <w:r w:rsidRPr="00351673">
              <w:rPr>
                <w:rFonts w:cs="Arial"/>
                <w:sz w:val="16"/>
                <w:szCs w:val="16"/>
              </w:rPr>
              <w:t>Total</w:t>
            </w:r>
          </w:p>
          <w:p w14:paraId="23AB3E02" w14:textId="77777777" w:rsidR="005216E6" w:rsidRPr="00351673" w:rsidRDefault="005216E6" w:rsidP="00EB2EFB">
            <w:pPr>
              <w:keepNext/>
              <w:snapToGrid w:val="0"/>
              <w:jc w:val="center"/>
              <w:rPr>
                <w:rFonts w:cs="Arial"/>
                <w:sz w:val="16"/>
                <w:szCs w:val="16"/>
              </w:rPr>
            </w:pPr>
            <w:r w:rsidRPr="00351673">
              <w:rPr>
                <w:rFonts w:cs="Arial"/>
                <w:sz w:val="16"/>
                <w:szCs w:val="16"/>
              </w:rPr>
              <w:t xml:space="preserve"> ($)</w:t>
            </w:r>
          </w:p>
          <w:p w14:paraId="23AB3E03" w14:textId="77777777" w:rsidR="005216E6" w:rsidRPr="00351673" w:rsidRDefault="005216E6" w:rsidP="00EB2EFB">
            <w:pPr>
              <w:keepNext/>
              <w:snapToGrid w:val="0"/>
              <w:jc w:val="center"/>
              <w:rPr>
                <w:rFonts w:cs="Arial"/>
                <w:sz w:val="16"/>
                <w:szCs w:val="16"/>
              </w:rPr>
            </w:pPr>
          </w:p>
        </w:tc>
      </w:tr>
      <w:tr w:rsidR="005216E6" w14:paraId="23AB3E11" w14:textId="77777777" w:rsidTr="00E12E68">
        <w:trPr>
          <w:cantSplit/>
          <w:trHeight w:val="440"/>
        </w:trPr>
        <w:tc>
          <w:tcPr>
            <w:tcW w:w="2160" w:type="dxa"/>
            <w:vMerge w:val="restart"/>
          </w:tcPr>
          <w:p w14:paraId="23AB3E05" w14:textId="77777777" w:rsidR="005216E6" w:rsidRDefault="005216E6" w:rsidP="00EB2EFB">
            <w:pPr>
              <w:keepNext/>
              <w:snapToGrid w:val="0"/>
              <w:rPr>
                <w:rFonts w:cs="Arial"/>
                <w:sz w:val="18"/>
                <w:szCs w:val="18"/>
              </w:rPr>
            </w:pPr>
            <w:r>
              <w:rPr>
                <w:rFonts w:cs="Arial"/>
                <w:sz w:val="18"/>
                <w:szCs w:val="18"/>
              </w:rPr>
              <w:t>Kenneth H. Globus,</w:t>
            </w:r>
          </w:p>
          <w:p w14:paraId="23AB3E06" w14:textId="77777777" w:rsidR="005216E6" w:rsidRDefault="005216E6" w:rsidP="00EB2EFB">
            <w:pPr>
              <w:keepNext/>
              <w:rPr>
                <w:rFonts w:cs="Arial"/>
                <w:sz w:val="18"/>
                <w:szCs w:val="18"/>
              </w:rPr>
            </w:pPr>
            <w:r>
              <w:rPr>
                <w:rFonts w:cs="Arial"/>
                <w:sz w:val="18"/>
                <w:szCs w:val="18"/>
              </w:rPr>
              <w:t>President  (Principal Executive Officer) and Chairman of the Board</w:t>
            </w:r>
          </w:p>
          <w:p w14:paraId="23AB3E07" w14:textId="77777777" w:rsidR="005216E6" w:rsidRDefault="005216E6" w:rsidP="00EB2EFB">
            <w:pPr>
              <w:keepNext/>
              <w:rPr>
                <w:rFonts w:cs="Arial"/>
                <w:sz w:val="18"/>
                <w:szCs w:val="18"/>
              </w:rPr>
            </w:pPr>
          </w:p>
        </w:tc>
        <w:tc>
          <w:tcPr>
            <w:tcW w:w="720" w:type="dxa"/>
            <w:vAlign w:val="center"/>
          </w:tcPr>
          <w:p w14:paraId="23AB3E08" w14:textId="77777777" w:rsidR="005216E6" w:rsidRDefault="005216E6" w:rsidP="00D879BB">
            <w:pPr>
              <w:keepNext/>
              <w:snapToGrid w:val="0"/>
              <w:jc w:val="center"/>
              <w:rPr>
                <w:rFonts w:cs="Arial"/>
                <w:sz w:val="18"/>
                <w:szCs w:val="18"/>
              </w:rPr>
            </w:pPr>
            <w:r>
              <w:rPr>
                <w:rFonts w:cs="Arial"/>
                <w:sz w:val="18"/>
                <w:szCs w:val="18"/>
              </w:rPr>
              <w:t>2013</w:t>
            </w:r>
          </w:p>
        </w:tc>
        <w:tc>
          <w:tcPr>
            <w:tcW w:w="900" w:type="dxa"/>
            <w:vAlign w:val="center"/>
          </w:tcPr>
          <w:p w14:paraId="23AB3E09" w14:textId="77777777" w:rsidR="005216E6" w:rsidRDefault="005216E6" w:rsidP="00EB2EFB">
            <w:pPr>
              <w:keepNext/>
              <w:snapToGrid w:val="0"/>
              <w:jc w:val="right"/>
              <w:rPr>
                <w:rFonts w:cs="Arial"/>
                <w:sz w:val="18"/>
                <w:szCs w:val="18"/>
              </w:rPr>
            </w:pPr>
            <w:r w:rsidRPr="00580A5A">
              <w:rPr>
                <w:rFonts w:cs="Arial"/>
                <w:sz w:val="18"/>
                <w:szCs w:val="18"/>
              </w:rPr>
              <w:t>2</w:t>
            </w:r>
            <w:r>
              <w:rPr>
                <w:rFonts w:cs="Arial"/>
                <w:sz w:val="18"/>
                <w:szCs w:val="18"/>
              </w:rPr>
              <w:t xml:space="preserve">58,555 </w:t>
            </w:r>
          </w:p>
        </w:tc>
        <w:tc>
          <w:tcPr>
            <w:tcW w:w="900" w:type="dxa"/>
            <w:vAlign w:val="center"/>
          </w:tcPr>
          <w:p w14:paraId="23AB3E0A" w14:textId="77777777" w:rsidR="005216E6" w:rsidRDefault="005216E6" w:rsidP="00EB2EFB">
            <w:pPr>
              <w:keepNext/>
              <w:snapToGrid w:val="0"/>
              <w:jc w:val="right"/>
              <w:rPr>
                <w:rFonts w:cs="Arial"/>
                <w:sz w:val="18"/>
                <w:szCs w:val="18"/>
              </w:rPr>
            </w:pPr>
            <w:r>
              <w:rPr>
                <w:rFonts w:cs="Arial"/>
                <w:sz w:val="18"/>
                <w:szCs w:val="18"/>
              </w:rPr>
              <w:t>114,400</w:t>
            </w:r>
          </w:p>
        </w:tc>
        <w:tc>
          <w:tcPr>
            <w:tcW w:w="900" w:type="dxa"/>
            <w:vAlign w:val="center"/>
          </w:tcPr>
          <w:p w14:paraId="23AB3E0B" w14:textId="77777777" w:rsidR="005216E6" w:rsidRDefault="005216E6" w:rsidP="00EB2EFB">
            <w:pPr>
              <w:keepNext/>
              <w:snapToGrid w:val="0"/>
              <w:jc w:val="center"/>
              <w:rPr>
                <w:rFonts w:cs="Arial"/>
                <w:sz w:val="18"/>
                <w:szCs w:val="18"/>
              </w:rPr>
            </w:pPr>
            <w:r>
              <w:rPr>
                <w:rFonts w:cs="Arial"/>
                <w:sz w:val="18"/>
                <w:szCs w:val="18"/>
              </w:rPr>
              <w:t>-</w:t>
            </w:r>
          </w:p>
        </w:tc>
        <w:tc>
          <w:tcPr>
            <w:tcW w:w="900" w:type="dxa"/>
            <w:vAlign w:val="center"/>
          </w:tcPr>
          <w:p w14:paraId="23AB3E0C" w14:textId="77777777" w:rsidR="005216E6" w:rsidRDefault="005216E6" w:rsidP="00EB2EFB">
            <w:pPr>
              <w:keepNext/>
              <w:snapToGrid w:val="0"/>
              <w:jc w:val="center"/>
              <w:rPr>
                <w:rFonts w:cs="Arial"/>
                <w:sz w:val="18"/>
                <w:szCs w:val="18"/>
              </w:rPr>
            </w:pPr>
            <w:r>
              <w:rPr>
                <w:rFonts w:cs="Arial"/>
                <w:sz w:val="18"/>
                <w:szCs w:val="18"/>
              </w:rPr>
              <w:t>-</w:t>
            </w:r>
          </w:p>
        </w:tc>
        <w:tc>
          <w:tcPr>
            <w:tcW w:w="1080" w:type="dxa"/>
            <w:vAlign w:val="center"/>
          </w:tcPr>
          <w:p w14:paraId="23AB3E0D" w14:textId="77777777" w:rsidR="005216E6" w:rsidRDefault="005216E6" w:rsidP="00EB2EFB">
            <w:pPr>
              <w:keepNext/>
              <w:snapToGrid w:val="0"/>
              <w:jc w:val="center"/>
              <w:rPr>
                <w:rFonts w:cs="Arial"/>
                <w:sz w:val="18"/>
                <w:szCs w:val="18"/>
              </w:rPr>
            </w:pPr>
            <w:r>
              <w:rPr>
                <w:rFonts w:cs="Arial"/>
                <w:sz w:val="18"/>
                <w:szCs w:val="18"/>
              </w:rPr>
              <w:t>-</w:t>
            </w:r>
          </w:p>
        </w:tc>
        <w:tc>
          <w:tcPr>
            <w:tcW w:w="900" w:type="dxa"/>
            <w:vAlign w:val="center"/>
          </w:tcPr>
          <w:p w14:paraId="23AB3E0E" w14:textId="77777777" w:rsidR="005216E6" w:rsidRDefault="005216E6" w:rsidP="00EB2EFB">
            <w:pPr>
              <w:keepNext/>
              <w:snapToGrid w:val="0"/>
              <w:jc w:val="center"/>
              <w:rPr>
                <w:rFonts w:cs="Arial"/>
                <w:sz w:val="18"/>
                <w:szCs w:val="18"/>
              </w:rPr>
            </w:pPr>
            <w:r>
              <w:rPr>
                <w:rFonts w:cs="Arial"/>
                <w:sz w:val="18"/>
                <w:szCs w:val="18"/>
              </w:rPr>
              <w:t>-</w:t>
            </w:r>
          </w:p>
        </w:tc>
        <w:tc>
          <w:tcPr>
            <w:tcW w:w="990" w:type="dxa"/>
            <w:vAlign w:val="center"/>
          </w:tcPr>
          <w:p w14:paraId="23AB3E0F" w14:textId="77777777" w:rsidR="005216E6" w:rsidRDefault="005216E6" w:rsidP="00EB2EFB">
            <w:pPr>
              <w:keepNext/>
              <w:snapToGrid w:val="0"/>
              <w:jc w:val="right"/>
              <w:rPr>
                <w:rFonts w:cs="Arial"/>
                <w:sz w:val="18"/>
                <w:szCs w:val="18"/>
              </w:rPr>
            </w:pPr>
            <w:r>
              <w:rPr>
                <w:rFonts w:cs="Arial"/>
                <w:sz w:val="18"/>
                <w:szCs w:val="18"/>
              </w:rPr>
              <w:t>26,816*</w:t>
            </w:r>
          </w:p>
        </w:tc>
        <w:tc>
          <w:tcPr>
            <w:tcW w:w="990" w:type="dxa"/>
            <w:vAlign w:val="center"/>
          </w:tcPr>
          <w:p w14:paraId="23AB3E10" w14:textId="77777777" w:rsidR="005216E6" w:rsidRDefault="005216E6" w:rsidP="00EB2EFB">
            <w:pPr>
              <w:keepNext/>
              <w:snapToGrid w:val="0"/>
              <w:jc w:val="right"/>
              <w:rPr>
                <w:rFonts w:cs="Arial"/>
                <w:sz w:val="18"/>
                <w:szCs w:val="18"/>
              </w:rPr>
            </w:pPr>
            <w:r>
              <w:rPr>
                <w:rFonts w:cs="Arial"/>
                <w:sz w:val="18"/>
                <w:szCs w:val="18"/>
              </w:rPr>
              <w:t>399,771</w:t>
            </w:r>
          </w:p>
        </w:tc>
      </w:tr>
      <w:tr w:rsidR="005216E6" w14:paraId="23AB3E1C" w14:textId="77777777" w:rsidTr="00E12E68">
        <w:trPr>
          <w:cantSplit/>
          <w:trHeight w:val="413"/>
        </w:trPr>
        <w:tc>
          <w:tcPr>
            <w:tcW w:w="2160" w:type="dxa"/>
            <w:vMerge/>
            <w:vAlign w:val="center"/>
          </w:tcPr>
          <w:p w14:paraId="23AB3E12" w14:textId="77777777" w:rsidR="005216E6" w:rsidRDefault="005216E6" w:rsidP="00EB2EFB">
            <w:pPr>
              <w:suppressAutoHyphens w:val="0"/>
              <w:rPr>
                <w:rFonts w:cs="Arial"/>
                <w:sz w:val="18"/>
                <w:szCs w:val="18"/>
              </w:rPr>
            </w:pPr>
          </w:p>
        </w:tc>
        <w:tc>
          <w:tcPr>
            <w:tcW w:w="720" w:type="dxa"/>
            <w:vAlign w:val="center"/>
          </w:tcPr>
          <w:p w14:paraId="23AB3E13" w14:textId="77777777" w:rsidR="005216E6" w:rsidRDefault="005216E6" w:rsidP="00D879BB">
            <w:pPr>
              <w:keepNext/>
              <w:snapToGrid w:val="0"/>
              <w:jc w:val="center"/>
              <w:rPr>
                <w:rFonts w:cs="Arial"/>
                <w:sz w:val="18"/>
                <w:szCs w:val="18"/>
              </w:rPr>
            </w:pPr>
            <w:r>
              <w:rPr>
                <w:rFonts w:cs="Arial"/>
                <w:sz w:val="18"/>
                <w:szCs w:val="18"/>
              </w:rPr>
              <w:t>2014</w:t>
            </w:r>
          </w:p>
        </w:tc>
        <w:tc>
          <w:tcPr>
            <w:tcW w:w="900" w:type="dxa"/>
            <w:vAlign w:val="center"/>
          </w:tcPr>
          <w:p w14:paraId="23AB3E14" w14:textId="77777777" w:rsidR="005216E6" w:rsidRDefault="005216E6" w:rsidP="00D879BB">
            <w:pPr>
              <w:keepNext/>
              <w:snapToGrid w:val="0"/>
              <w:jc w:val="right"/>
              <w:rPr>
                <w:rFonts w:cs="Arial"/>
                <w:sz w:val="18"/>
                <w:szCs w:val="18"/>
              </w:rPr>
            </w:pPr>
            <w:r>
              <w:rPr>
                <w:rFonts w:cs="Arial"/>
                <w:sz w:val="18"/>
                <w:szCs w:val="18"/>
              </w:rPr>
              <w:t>261,802</w:t>
            </w:r>
          </w:p>
        </w:tc>
        <w:tc>
          <w:tcPr>
            <w:tcW w:w="900" w:type="dxa"/>
            <w:vAlign w:val="center"/>
          </w:tcPr>
          <w:p w14:paraId="23AB3E15" w14:textId="77777777" w:rsidR="005216E6" w:rsidRDefault="005216E6" w:rsidP="00EB2EFB">
            <w:pPr>
              <w:keepNext/>
              <w:snapToGrid w:val="0"/>
              <w:jc w:val="right"/>
              <w:rPr>
                <w:rFonts w:cs="Arial"/>
                <w:sz w:val="18"/>
                <w:szCs w:val="18"/>
              </w:rPr>
            </w:pPr>
            <w:r>
              <w:rPr>
                <w:rFonts w:cs="Arial"/>
                <w:sz w:val="18"/>
                <w:szCs w:val="18"/>
              </w:rPr>
              <w:t>140,000</w:t>
            </w:r>
          </w:p>
        </w:tc>
        <w:tc>
          <w:tcPr>
            <w:tcW w:w="900" w:type="dxa"/>
            <w:vAlign w:val="center"/>
          </w:tcPr>
          <w:p w14:paraId="23AB3E16" w14:textId="77777777" w:rsidR="005216E6" w:rsidRDefault="005216E6" w:rsidP="00EB2EFB">
            <w:pPr>
              <w:keepNext/>
              <w:snapToGrid w:val="0"/>
              <w:jc w:val="center"/>
              <w:rPr>
                <w:rFonts w:cs="Arial"/>
                <w:sz w:val="18"/>
                <w:szCs w:val="18"/>
              </w:rPr>
            </w:pPr>
            <w:r>
              <w:rPr>
                <w:rFonts w:cs="Arial"/>
                <w:sz w:val="18"/>
                <w:szCs w:val="18"/>
              </w:rPr>
              <w:t>-</w:t>
            </w:r>
          </w:p>
        </w:tc>
        <w:tc>
          <w:tcPr>
            <w:tcW w:w="900" w:type="dxa"/>
            <w:vAlign w:val="center"/>
          </w:tcPr>
          <w:p w14:paraId="23AB3E17" w14:textId="77777777" w:rsidR="005216E6" w:rsidRDefault="005216E6" w:rsidP="00EB2EFB">
            <w:pPr>
              <w:keepNext/>
              <w:snapToGrid w:val="0"/>
              <w:jc w:val="center"/>
              <w:rPr>
                <w:rFonts w:cs="Arial"/>
                <w:sz w:val="18"/>
                <w:szCs w:val="18"/>
              </w:rPr>
            </w:pPr>
            <w:r>
              <w:rPr>
                <w:rFonts w:cs="Arial"/>
                <w:sz w:val="18"/>
                <w:szCs w:val="18"/>
              </w:rPr>
              <w:t>-</w:t>
            </w:r>
          </w:p>
        </w:tc>
        <w:tc>
          <w:tcPr>
            <w:tcW w:w="1080" w:type="dxa"/>
            <w:vAlign w:val="center"/>
          </w:tcPr>
          <w:p w14:paraId="23AB3E18" w14:textId="77777777" w:rsidR="005216E6" w:rsidRDefault="005216E6" w:rsidP="00EB2EFB">
            <w:pPr>
              <w:keepNext/>
              <w:snapToGrid w:val="0"/>
              <w:jc w:val="center"/>
              <w:rPr>
                <w:rFonts w:cs="Arial"/>
                <w:sz w:val="18"/>
                <w:szCs w:val="18"/>
              </w:rPr>
            </w:pPr>
            <w:r>
              <w:rPr>
                <w:rFonts w:cs="Arial"/>
                <w:sz w:val="18"/>
                <w:szCs w:val="18"/>
              </w:rPr>
              <w:t>-</w:t>
            </w:r>
          </w:p>
        </w:tc>
        <w:tc>
          <w:tcPr>
            <w:tcW w:w="900" w:type="dxa"/>
            <w:vAlign w:val="center"/>
          </w:tcPr>
          <w:p w14:paraId="23AB3E19" w14:textId="77777777" w:rsidR="005216E6" w:rsidRDefault="005216E6" w:rsidP="00EB2EFB">
            <w:pPr>
              <w:keepNext/>
              <w:snapToGrid w:val="0"/>
              <w:jc w:val="center"/>
              <w:rPr>
                <w:rFonts w:cs="Arial"/>
                <w:sz w:val="18"/>
                <w:szCs w:val="18"/>
              </w:rPr>
            </w:pPr>
            <w:r>
              <w:rPr>
                <w:rFonts w:cs="Arial"/>
                <w:sz w:val="18"/>
                <w:szCs w:val="18"/>
              </w:rPr>
              <w:t>-</w:t>
            </w:r>
          </w:p>
        </w:tc>
        <w:tc>
          <w:tcPr>
            <w:tcW w:w="990" w:type="dxa"/>
            <w:vAlign w:val="center"/>
          </w:tcPr>
          <w:p w14:paraId="23AB3E1A" w14:textId="77777777" w:rsidR="005216E6" w:rsidRDefault="005216E6" w:rsidP="00EB2EFB">
            <w:pPr>
              <w:keepNext/>
              <w:snapToGrid w:val="0"/>
              <w:jc w:val="right"/>
              <w:rPr>
                <w:rFonts w:cs="Arial"/>
                <w:sz w:val="18"/>
                <w:szCs w:val="18"/>
              </w:rPr>
            </w:pPr>
            <w:r>
              <w:rPr>
                <w:rFonts w:cs="Arial"/>
                <w:sz w:val="18"/>
                <w:szCs w:val="18"/>
              </w:rPr>
              <w:t>28,167*</w:t>
            </w:r>
          </w:p>
        </w:tc>
        <w:tc>
          <w:tcPr>
            <w:tcW w:w="990" w:type="dxa"/>
            <w:vAlign w:val="center"/>
          </w:tcPr>
          <w:p w14:paraId="23AB3E1B" w14:textId="77777777" w:rsidR="005216E6" w:rsidRDefault="005216E6" w:rsidP="00EB2EFB">
            <w:pPr>
              <w:keepNext/>
              <w:snapToGrid w:val="0"/>
              <w:jc w:val="right"/>
              <w:rPr>
                <w:rFonts w:cs="Arial"/>
                <w:sz w:val="18"/>
                <w:szCs w:val="18"/>
              </w:rPr>
            </w:pPr>
            <w:r>
              <w:rPr>
                <w:rFonts w:cs="Arial"/>
                <w:sz w:val="18"/>
                <w:szCs w:val="18"/>
              </w:rPr>
              <w:t>429,969</w:t>
            </w:r>
          </w:p>
        </w:tc>
      </w:tr>
      <w:tr w:rsidR="005216E6" w14:paraId="23AB3E2A" w14:textId="77777777" w:rsidTr="00E12E68">
        <w:trPr>
          <w:cantSplit/>
          <w:trHeight w:val="413"/>
        </w:trPr>
        <w:tc>
          <w:tcPr>
            <w:tcW w:w="2160" w:type="dxa"/>
            <w:vMerge w:val="restart"/>
          </w:tcPr>
          <w:p w14:paraId="23AB3E1D" w14:textId="77777777" w:rsidR="005216E6" w:rsidRDefault="005216E6" w:rsidP="00EB2EFB">
            <w:pPr>
              <w:snapToGrid w:val="0"/>
              <w:rPr>
                <w:rFonts w:cs="Arial"/>
                <w:sz w:val="18"/>
                <w:szCs w:val="18"/>
              </w:rPr>
            </w:pPr>
            <w:r>
              <w:rPr>
                <w:rFonts w:cs="Arial"/>
                <w:sz w:val="18"/>
                <w:szCs w:val="18"/>
              </w:rPr>
              <w:t>Robert S. Rubinger,</w:t>
            </w:r>
          </w:p>
          <w:p w14:paraId="23AB3E1E" w14:textId="77777777" w:rsidR="005216E6" w:rsidRDefault="005216E6" w:rsidP="00EB2EFB">
            <w:pPr>
              <w:rPr>
                <w:rFonts w:cs="Arial"/>
                <w:sz w:val="18"/>
                <w:szCs w:val="18"/>
              </w:rPr>
            </w:pPr>
            <w:r>
              <w:rPr>
                <w:rFonts w:cs="Arial"/>
                <w:sz w:val="18"/>
                <w:szCs w:val="18"/>
              </w:rPr>
              <w:t>Executive Vice</w:t>
            </w:r>
          </w:p>
          <w:p w14:paraId="23AB3E1F" w14:textId="77777777" w:rsidR="005216E6" w:rsidRDefault="005216E6" w:rsidP="00EB2EFB">
            <w:pPr>
              <w:rPr>
                <w:rFonts w:cs="Arial"/>
                <w:sz w:val="18"/>
                <w:szCs w:val="18"/>
              </w:rPr>
            </w:pPr>
            <w:r>
              <w:rPr>
                <w:rFonts w:cs="Arial"/>
                <w:sz w:val="18"/>
                <w:szCs w:val="18"/>
              </w:rPr>
              <w:t>President and Chief Financial Officer</w:t>
            </w:r>
          </w:p>
          <w:p w14:paraId="23AB3E20" w14:textId="77777777" w:rsidR="005216E6" w:rsidRDefault="005216E6" w:rsidP="00EB2EFB">
            <w:pPr>
              <w:rPr>
                <w:rFonts w:cs="Arial"/>
                <w:sz w:val="18"/>
                <w:szCs w:val="18"/>
              </w:rPr>
            </w:pPr>
          </w:p>
        </w:tc>
        <w:tc>
          <w:tcPr>
            <w:tcW w:w="720" w:type="dxa"/>
            <w:vAlign w:val="center"/>
          </w:tcPr>
          <w:p w14:paraId="23AB3E21" w14:textId="77777777" w:rsidR="005216E6" w:rsidRDefault="005216E6" w:rsidP="00D879BB">
            <w:pPr>
              <w:snapToGrid w:val="0"/>
              <w:jc w:val="center"/>
              <w:rPr>
                <w:rFonts w:cs="Arial"/>
                <w:sz w:val="18"/>
                <w:szCs w:val="18"/>
              </w:rPr>
            </w:pPr>
            <w:r>
              <w:rPr>
                <w:rFonts w:cs="Arial"/>
                <w:sz w:val="18"/>
                <w:szCs w:val="18"/>
              </w:rPr>
              <w:t>2013</w:t>
            </w:r>
          </w:p>
        </w:tc>
        <w:tc>
          <w:tcPr>
            <w:tcW w:w="900" w:type="dxa"/>
            <w:vAlign w:val="center"/>
          </w:tcPr>
          <w:p w14:paraId="23AB3E22" w14:textId="77777777" w:rsidR="005216E6" w:rsidRDefault="005216E6" w:rsidP="00EB2EFB">
            <w:pPr>
              <w:snapToGrid w:val="0"/>
              <w:jc w:val="right"/>
              <w:rPr>
                <w:rFonts w:cs="Arial"/>
                <w:sz w:val="18"/>
                <w:szCs w:val="18"/>
              </w:rPr>
            </w:pPr>
            <w:r w:rsidRPr="00580A5A">
              <w:rPr>
                <w:rFonts w:cs="Arial"/>
                <w:sz w:val="18"/>
                <w:szCs w:val="18"/>
              </w:rPr>
              <w:t>1</w:t>
            </w:r>
            <w:r>
              <w:rPr>
                <w:rFonts w:cs="Arial"/>
                <w:sz w:val="18"/>
                <w:szCs w:val="18"/>
              </w:rPr>
              <w:t>68,818</w:t>
            </w:r>
          </w:p>
        </w:tc>
        <w:tc>
          <w:tcPr>
            <w:tcW w:w="900" w:type="dxa"/>
            <w:vAlign w:val="center"/>
          </w:tcPr>
          <w:p w14:paraId="23AB3E23" w14:textId="77777777" w:rsidR="005216E6" w:rsidRDefault="005216E6" w:rsidP="00EB2EFB">
            <w:pPr>
              <w:snapToGrid w:val="0"/>
              <w:jc w:val="right"/>
              <w:rPr>
                <w:rFonts w:cs="Arial"/>
                <w:sz w:val="18"/>
                <w:szCs w:val="18"/>
              </w:rPr>
            </w:pPr>
            <w:r>
              <w:rPr>
                <w:rFonts w:cs="Arial"/>
                <w:sz w:val="18"/>
                <w:szCs w:val="18"/>
              </w:rPr>
              <w:t>25,700</w:t>
            </w:r>
          </w:p>
        </w:tc>
        <w:tc>
          <w:tcPr>
            <w:tcW w:w="900" w:type="dxa"/>
            <w:vAlign w:val="center"/>
          </w:tcPr>
          <w:p w14:paraId="23AB3E24" w14:textId="77777777" w:rsidR="005216E6" w:rsidRDefault="005216E6" w:rsidP="00EB2EFB">
            <w:pPr>
              <w:snapToGrid w:val="0"/>
              <w:jc w:val="center"/>
              <w:rPr>
                <w:rFonts w:cs="Arial"/>
                <w:sz w:val="18"/>
                <w:szCs w:val="18"/>
              </w:rPr>
            </w:pPr>
            <w:r>
              <w:rPr>
                <w:rFonts w:cs="Arial"/>
                <w:sz w:val="18"/>
                <w:szCs w:val="18"/>
              </w:rPr>
              <w:t>-</w:t>
            </w:r>
          </w:p>
        </w:tc>
        <w:tc>
          <w:tcPr>
            <w:tcW w:w="900" w:type="dxa"/>
            <w:vAlign w:val="center"/>
          </w:tcPr>
          <w:p w14:paraId="23AB3E25" w14:textId="77777777" w:rsidR="005216E6" w:rsidRDefault="005216E6" w:rsidP="00EB2EFB">
            <w:pPr>
              <w:snapToGrid w:val="0"/>
              <w:jc w:val="center"/>
              <w:rPr>
                <w:rFonts w:cs="Arial"/>
                <w:sz w:val="18"/>
                <w:szCs w:val="18"/>
              </w:rPr>
            </w:pPr>
            <w:r>
              <w:rPr>
                <w:rFonts w:cs="Arial"/>
                <w:sz w:val="18"/>
                <w:szCs w:val="18"/>
              </w:rPr>
              <w:t>-</w:t>
            </w:r>
          </w:p>
        </w:tc>
        <w:tc>
          <w:tcPr>
            <w:tcW w:w="1080" w:type="dxa"/>
            <w:vAlign w:val="center"/>
          </w:tcPr>
          <w:p w14:paraId="23AB3E26" w14:textId="77777777" w:rsidR="005216E6" w:rsidRDefault="005216E6" w:rsidP="00EB2EFB">
            <w:pPr>
              <w:snapToGrid w:val="0"/>
              <w:jc w:val="center"/>
              <w:rPr>
                <w:rFonts w:cs="Arial"/>
                <w:sz w:val="18"/>
                <w:szCs w:val="18"/>
              </w:rPr>
            </w:pPr>
            <w:r>
              <w:rPr>
                <w:rFonts w:cs="Arial"/>
                <w:sz w:val="18"/>
                <w:szCs w:val="18"/>
              </w:rPr>
              <w:t>-</w:t>
            </w:r>
          </w:p>
        </w:tc>
        <w:tc>
          <w:tcPr>
            <w:tcW w:w="900" w:type="dxa"/>
            <w:vAlign w:val="center"/>
          </w:tcPr>
          <w:p w14:paraId="23AB3E27" w14:textId="77777777" w:rsidR="005216E6" w:rsidRDefault="005216E6" w:rsidP="00EB2EFB">
            <w:pPr>
              <w:snapToGrid w:val="0"/>
              <w:jc w:val="center"/>
              <w:rPr>
                <w:rFonts w:cs="Arial"/>
                <w:sz w:val="18"/>
                <w:szCs w:val="18"/>
              </w:rPr>
            </w:pPr>
            <w:r>
              <w:rPr>
                <w:rFonts w:cs="Arial"/>
                <w:sz w:val="18"/>
                <w:szCs w:val="18"/>
              </w:rPr>
              <w:t>-</w:t>
            </w:r>
          </w:p>
        </w:tc>
        <w:tc>
          <w:tcPr>
            <w:tcW w:w="990" w:type="dxa"/>
            <w:vAlign w:val="center"/>
          </w:tcPr>
          <w:p w14:paraId="23AB3E28" w14:textId="77777777" w:rsidR="005216E6" w:rsidRDefault="005216E6" w:rsidP="00EB2EFB">
            <w:pPr>
              <w:snapToGrid w:val="0"/>
              <w:jc w:val="right"/>
              <w:rPr>
                <w:rFonts w:cs="Arial"/>
                <w:sz w:val="18"/>
                <w:szCs w:val="18"/>
              </w:rPr>
            </w:pPr>
            <w:r>
              <w:rPr>
                <w:rFonts w:cs="Arial"/>
                <w:sz w:val="18"/>
                <w:szCs w:val="18"/>
              </w:rPr>
              <w:t xml:space="preserve">  20,487*</w:t>
            </w:r>
          </w:p>
        </w:tc>
        <w:tc>
          <w:tcPr>
            <w:tcW w:w="990" w:type="dxa"/>
            <w:vAlign w:val="center"/>
          </w:tcPr>
          <w:p w14:paraId="23AB3E29" w14:textId="77777777" w:rsidR="005216E6" w:rsidRDefault="005216E6" w:rsidP="00EB2EFB">
            <w:pPr>
              <w:snapToGrid w:val="0"/>
              <w:jc w:val="right"/>
              <w:rPr>
                <w:rFonts w:cs="Arial"/>
                <w:sz w:val="18"/>
                <w:szCs w:val="18"/>
              </w:rPr>
            </w:pPr>
            <w:r w:rsidRPr="00580A5A">
              <w:rPr>
                <w:rFonts w:cs="Arial"/>
                <w:sz w:val="18"/>
                <w:szCs w:val="18"/>
              </w:rPr>
              <w:t>2</w:t>
            </w:r>
            <w:r>
              <w:rPr>
                <w:rFonts w:cs="Arial"/>
                <w:sz w:val="18"/>
                <w:szCs w:val="18"/>
              </w:rPr>
              <w:t>15,005</w:t>
            </w:r>
          </w:p>
        </w:tc>
      </w:tr>
      <w:tr w:rsidR="005216E6" w14:paraId="23AB3E35" w14:textId="77777777" w:rsidTr="00E12E68">
        <w:trPr>
          <w:cantSplit/>
          <w:trHeight w:val="305"/>
        </w:trPr>
        <w:tc>
          <w:tcPr>
            <w:tcW w:w="2160" w:type="dxa"/>
            <w:vMerge/>
            <w:vAlign w:val="center"/>
          </w:tcPr>
          <w:p w14:paraId="23AB3E2B" w14:textId="77777777" w:rsidR="005216E6" w:rsidRDefault="005216E6" w:rsidP="00EB2EFB">
            <w:pPr>
              <w:suppressAutoHyphens w:val="0"/>
              <w:rPr>
                <w:rFonts w:cs="Arial"/>
                <w:sz w:val="18"/>
                <w:szCs w:val="18"/>
              </w:rPr>
            </w:pPr>
          </w:p>
        </w:tc>
        <w:tc>
          <w:tcPr>
            <w:tcW w:w="720" w:type="dxa"/>
            <w:vAlign w:val="center"/>
          </w:tcPr>
          <w:p w14:paraId="23AB3E2C" w14:textId="77777777" w:rsidR="005216E6" w:rsidRDefault="005216E6" w:rsidP="00D879BB">
            <w:pPr>
              <w:snapToGrid w:val="0"/>
              <w:jc w:val="center"/>
              <w:rPr>
                <w:rFonts w:cs="Arial"/>
                <w:sz w:val="18"/>
                <w:szCs w:val="18"/>
              </w:rPr>
            </w:pPr>
            <w:r>
              <w:rPr>
                <w:rFonts w:cs="Arial"/>
                <w:sz w:val="18"/>
                <w:szCs w:val="18"/>
              </w:rPr>
              <w:t>2014</w:t>
            </w:r>
          </w:p>
        </w:tc>
        <w:tc>
          <w:tcPr>
            <w:tcW w:w="900" w:type="dxa"/>
            <w:vAlign w:val="center"/>
          </w:tcPr>
          <w:p w14:paraId="23AB3E2D" w14:textId="77777777" w:rsidR="005216E6" w:rsidRDefault="005216E6" w:rsidP="00EB2EFB">
            <w:pPr>
              <w:snapToGrid w:val="0"/>
              <w:jc w:val="right"/>
              <w:rPr>
                <w:rFonts w:cs="Arial"/>
                <w:sz w:val="18"/>
                <w:szCs w:val="18"/>
              </w:rPr>
            </w:pPr>
            <w:r>
              <w:rPr>
                <w:rFonts w:cs="Arial"/>
                <w:sz w:val="18"/>
                <w:szCs w:val="18"/>
              </w:rPr>
              <w:t>173,151</w:t>
            </w:r>
          </w:p>
        </w:tc>
        <w:tc>
          <w:tcPr>
            <w:tcW w:w="900" w:type="dxa"/>
            <w:vAlign w:val="center"/>
          </w:tcPr>
          <w:p w14:paraId="23AB3E2E" w14:textId="77777777" w:rsidR="005216E6" w:rsidRDefault="005216E6" w:rsidP="00EB2EFB">
            <w:pPr>
              <w:snapToGrid w:val="0"/>
              <w:jc w:val="right"/>
              <w:rPr>
                <w:rFonts w:cs="Arial"/>
                <w:sz w:val="18"/>
                <w:szCs w:val="18"/>
              </w:rPr>
            </w:pPr>
            <w:r>
              <w:rPr>
                <w:rFonts w:cs="Arial"/>
                <w:sz w:val="18"/>
                <w:szCs w:val="18"/>
              </w:rPr>
              <w:t>29,600</w:t>
            </w:r>
          </w:p>
        </w:tc>
        <w:tc>
          <w:tcPr>
            <w:tcW w:w="900" w:type="dxa"/>
            <w:vAlign w:val="center"/>
          </w:tcPr>
          <w:p w14:paraId="23AB3E2F" w14:textId="77777777" w:rsidR="005216E6" w:rsidRDefault="005216E6" w:rsidP="00EB2EFB">
            <w:pPr>
              <w:snapToGrid w:val="0"/>
              <w:jc w:val="center"/>
              <w:rPr>
                <w:rFonts w:cs="Arial"/>
                <w:sz w:val="18"/>
                <w:szCs w:val="18"/>
              </w:rPr>
            </w:pPr>
            <w:r>
              <w:rPr>
                <w:rFonts w:cs="Arial"/>
                <w:sz w:val="18"/>
                <w:szCs w:val="18"/>
              </w:rPr>
              <w:t>-</w:t>
            </w:r>
          </w:p>
        </w:tc>
        <w:tc>
          <w:tcPr>
            <w:tcW w:w="900" w:type="dxa"/>
            <w:vAlign w:val="center"/>
          </w:tcPr>
          <w:p w14:paraId="23AB3E30" w14:textId="77777777" w:rsidR="005216E6" w:rsidRDefault="005216E6" w:rsidP="00EB2EFB">
            <w:pPr>
              <w:snapToGrid w:val="0"/>
              <w:jc w:val="center"/>
              <w:rPr>
                <w:rFonts w:cs="Arial"/>
                <w:sz w:val="18"/>
                <w:szCs w:val="18"/>
              </w:rPr>
            </w:pPr>
            <w:r>
              <w:rPr>
                <w:rFonts w:cs="Arial"/>
                <w:sz w:val="18"/>
                <w:szCs w:val="18"/>
              </w:rPr>
              <w:t>-</w:t>
            </w:r>
          </w:p>
        </w:tc>
        <w:tc>
          <w:tcPr>
            <w:tcW w:w="1080" w:type="dxa"/>
            <w:vAlign w:val="center"/>
          </w:tcPr>
          <w:p w14:paraId="23AB3E31" w14:textId="77777777" w:rsidR="005216E6" w:rsidRDefault="005216E6" w:rsidP="00EB2EFB">
            <w:pPr>
              <w:snapToGrid w:val="0"/>
              <w:jc w:val="center"/>
              <w:rPr>
                <w:rFonts w:cs="Arial"/>
                <w:sz w:val="18"/>
                <w:szCs w:val="18"/>
              </w:rPr>
            </w:pPr>
            <w:r>
              <w:rPr>
                <w:rFonts w:cs="Arial"/>
                <w:sz w:val="18"/>
                <w:szCs w:val="18"/>
              </w:rPr>
              <w:t>-</w:t>
            </w:r>
          </w:p>
        </w:tc>
        <w:tc>
          <w:tcPr>
            <w:tcW w:w="900" w:type="dxa"/>
            <w:vAlign w:val="center"/>
          </w:tcPr>
          <w:p w14:paraId="23AB3E32" w14:textId="77777777" w:rsidR="005216E6" w:rsidRDefault="005216E6" w:rsidP="00EB2EFB">
            <w:pPr>
              <w:snapToGrid w:val="0"/>
              <w:jc w:val="center"/>
              <w:rPr>
                <w:rFonts w:cs="Arial"/>
                <w:sz w:val="18"/>
                <w:szCs w:val="18"/>
              </w:rPr>
            </w:pPr>
            <w:r>
              <w:rPr>
                <w:rFonts w:cs="Arial"/>
                <w:sz w:val="18"/>
                <w:szCs w:val="18"/>
              </w:rPr>
              <w:t>-</w:t>
            </w:r>
          </w:p>
        </w:tc>
        <w:tc>
          <w:tcPr>
            <w:tcW w:w="990" w:type="dxa"/>
            <w:vAlign w:val="center"/>
          </w:tcPr>
          <w:p w14:paraId="23AB3E33" w14:textId="77777777" w:rsidR="005216E6" w:rsidRDefault="005216E6" w:rsidP="00EB2EFB">
            <w:pPr>
              <w:snapToGrid w:val="0"/>
              <w:jc w:val="right"/>
              <w:rPr>
                <w:rFonts w:cs="Arial"/>
                <w:sz w:val="18"/>
                <w:szCs w:val="18"/>
              </w:rPr>
            </w:pPr>
            <w:r>
              <w:rPr>
                <w:rFonts w:cs="Arial"/>
                <w:sz w:val="18"/>
                <w:szCs w:val="18"/>
              </w:rPr>
              <w:t>20,924*</w:t>
            </w:r>
          </w:p>
        </w:tc>
        <w:tc>
          <w:tcPr>
            <w:tcW w:w="990" w:type="dxa"/>
            <w:vAlign w:val="center"/>
          </w:tcPr>
          <w:p w14:paraId="23AB3E34" w14:textId="77777777" w:rsidR="005216E6" w:rsidRDefault="005216E6" w:rsidP="00EB2EFB">
            <w:pPr>
              <w:snapToGrid w:val="0"/>
              <w:jc w:val="right"/>
              <w:rPr>
                <w:rFonts w:cs="Arial"/>
                <w:sz w:val="18"/>
                <w:szCs w:val="18"/>
              </w:rPr>
            </w:pPr>
            <w:r>
              <w:rPr>
                <w:rFonts w:cs="Arial"/>
                <w:sz w:val="18"/>
                <w:szCs w:val="18"/>
              </w:rPr>
              <w:t>223,675</w:t>
            </w:r>
          </w:p>
        </w:tc>
      </w:tr>
      <w:tr w:rsidR="005216E6" w14:paraId="23AB3E41" w14:textId="77777777" w:rsidTr="00E12E68">
        <w:trPr>
          <w:cantSplit/>
          <w:trHeight w:val="413"/>
        </w:trPr>
        <w:tc>
          <w:tcPr>
            <w:tcW w:w="2160" w:type="dxa"/>
            <w:vMerge w:val="restart"/>
          </w:tcPr>
          <w:p w14:paraId="23AB3E36" w14:textId="77777777" w:rsidR="005216E6" w:rsidRDefault="005216E6" w:rsidP="00351673">
            <w:pPr>
              <w:suppressAutoHyphens w:val="0"/>
              <w:rPr>
                <w:rFonts w:cs="Arial"/>
                <w:sz w:val="18"/>
                <w:szCs w:val="18"/>
              </w:rPr>
            </w:pPr>
            <w:r>
              <w:rPr>
                <w:rFonts w:cs="Arial"/>
                <w:sz w:val="18"/>
                <w:szCs w:val="18"/>
              </w:rPr>
              <w:t xml:space="preserve">Joseph J. Vernice, </w:t>
            </w:r>
          </w:p>
          <w:p w14:paraId="23AB3E37" w14:textId="77777777" w:rsidR="005216E6" w:rsidRDefault="005216E6" w:rsidP="00351673">
            <w:pPr>
              <w:suppressAutoHyphens w:val="0"/>
              <w:rPr>
                <w:rFonts w:cs="Arial"/>
                <w:sz w:val="18"/>
                <w:szCs w:val="18"/>
              </w:rPr>
            </w:pPr>
            <w:r>
              <w:rPr>
                <w:rFonts w:cs="Arial"/>
                <w:sz w:val="18"/>
                <w:szCs w:val="18"/>
              </w:rPr>
              <w:t>Vice President</w:t>
            </w:r>
          </w:p>
        </w:tc>
        <w:tc>
          <w:tcPr>
            <w:tcW w:w="720" w:type="dxa"/>
            <w:tcBorders>
              <w:bottom w:val="single" w:sz="4" w:space="0" w:color="auto"/>
            </w:tcBorders>
            <w:vAlign w:val="center"/>
          </w:tcPr>
          <w:p w14:paraId="23AB3E38" w14:textId="77777777" w:rsidR="005216E6" w:rsidRDefault="005216E6" w:rsidP="00D879BB">
            <w:pPr>
              <w:snapToGrid w:val="0"/>
              <w:jc w:val="center"/>
              <w:rPr>
                <w:rFonts w:cs="Arial"/>
                <w:sz w:val="18"/>
                <w:szCs w:val="18"/>
              </w:rPr>
            </w:pPr>
            <w:r>
              <w:rPr>
                <w:rFonts w:cs="Arial"/>
                <w:sz w:val="18"/>
                <w:szCs w:val="18"/>
              </w:rPr>
              <w:t>2013</w:t>
            </w:r>
          </w:p>
        </w:tc>
        <w:tc>
          <w:tcPr>
            <w:tcW w:w="900" w:type="dxa"/>
            <w:tcBorders>
              <w:bottom w:val="single" w:sz="4" w:space="0" w:color="auto"/>
            </w:tcBorders>
            <w:vAlign w:val="center"/>
          </w:tcPr>
          <w:p w14:paraId="23AB3E39" w14:textId="77777777" w:rsidR="005216E6" w:rsidRDefault="005216E6" w:rsidP="00EB2EFB">
            <w:pPr>
              <w:snapToGrid w:val="0"/>
              <w:jc w:val="right"/>
              <w:rPr>
                <w:rFonts w:cs="Arial"/>
                <w:sz w:val="18"/>
                <w:szCs w:val="18"/>
              </w:rPr>
            </w:pPr>
            <w:r>
              <w:rPr>
                <w:rFonts w:cs="Arial"/>
                <w:sz w:val="18"/>
                <w:szCs w:val="18"/>
              </w:rPr>
              <w:t>167,600</w:t>
            </w:r>
          </w:p>
        </w:tc>
        <w:tc>
          <w:tcPr>
            <w:tcW w:w="900" w:type="dxa"/>
            <w:tcBorders>
              <w:bottom w:val="single" w:sz="4" w:space="0" w:color="auto"/>
            </w:tcBorders>
            <w:vAlign w:val="center"/>
          </w:tcPr>
          <w:p w14:paraId="23AB3E3A" w14:textId="77777777" w:rsidR="005216E6" w:rsidRDefault="005216E6" w:rsidP="00EB2EFB">
            <w:pPr>
              <w:snapToGrid w:val="0"/>
              <w:jc w:val="right"/>
              <w:rPr>
                <w:rFonts w:cs="Arial"/>
                <w:sz w:val="18"/>
                <w:szCs w:val="18"/>
              </w:rPr>
            </w:pPr>
            <w:r>
              <w:rPr>
                <w:rFonts w:cs="Arial"/>
                <w:sz w:val="18"/>
                <w:szCs w:val="18"/>
              </w:rPr>
              <w:t>32,500</w:t>
            </w:r>
          </w:p>
        </w:tc>
        <w:tc>
          <w:tcPr>
            <w:tcW w:w="900" w:type="dxa"/>
            <w:tcBorders>
              <w:bottom w:val="single" w:sz="4" w:space="0" w:color="auto"/>
            </w:tcBorders>
            <w:vAlign w:val="center"/>
          </w:tcPr>
          <w:p w14:paraId="23AB3E3B" w14:textId="77777777" w:rsidR="005216E6" w:rsidRDefault="005216E6" w:rsidP="00EB2EFB">
            <w:pPr>
              <w:snapToGrid w:val="0"/>
              <w:jc w:val="center"/>
              <w:rPr>
                <w:rFonts w:cs="Arial"/>
                <w:sz w:val="18"/>
                <w:szCs w:val="18"/>
              </w:rPr>
            </w:pPr>
            <w:r>
              <w:rPr>
                <w:rFonts w:cs="Arial"/>
                <w:sz w:val="18"/>
                <w:szCs w:val="18"/>
              </w:rPr>
              <w:t>-</w:t>
            </w:r>
          </w:p>
        </w:tc>
        <w:tc>
          <w:tcPr>
            <w:tcW w:w="900" w:type="dxa"/>
            <w:tcBorders>
              <w:bottom w:val="single" w:sz="4" w:space="0" w:color="auto"/>
            </w:tcBorders>
            <w:vAlign w:val="center"/>
          </w:tcPr>
          <w:p w14:paraId="23AB3E3C" w14:textId="77777777" w:rsidR="005216E6" w:rsidRDefault="005216E6" w:rsidP="00EB2EFB">
            <w:pPr>
              <w:snapToGrid w:val="0"/>
              <w:jc w:val="center"/>
              <w:rPr>
                <w:rFonts w:cs="Arial"/>
                <w:sz w:val="18"/>
                <w:szCs w:val="18"/>
              </w:rPr>
            </w:pPr>
            <w:r>
              <w:rPr>
                <w:rFonts w:cs="Arial"/>
                <w:sz w:val="18"/>
                <w:szCs w:val="18"/>
              </w:rPr>
              <w:t>-</w:t>
            </w:r>
          </w:p>
        </w:tc>
        <w:tc>
          <w:tcPr>
            <w:tcW w:w="1080" w:type="dxa"/>
            <w:tcBorders>
              <w:bottom w:val="single" w:sz="4" w:space="0" w:color="auto"/>
            </w:tcBorders>
            <w:vAlign w:val="center"/>
          </w:tcPr>
          <w:p w14:paraId="23AB3E3D" w14:textId="77777777" w:rsidR="005216E6" w:rsidRDefault="005216E6" w:rsidP="00EB2EFB">
            <w:pPr>
              <w:snapToGrid w:val="0"/>
              <w:jc w:val="center"/>
              <w:rPr>
                <w:rFonts w:cs="Arial"/>
                <w:sz w:val="18"/>
                <w:szCs w:val="18"/>
              </w:rPr>
            </w:pPr>
            <w:r>
              <w:rPr>
                <w:rFonts w:cs="Arial"/>
                <w:sz w:val="18"/>
                <w:szCs w:val="18"/>
              </w:rPr>
              <w:t>-</w:t>
            </w:r>
          </w:p>
        </w:tc>
        <w:tc>
          <w:tcPr>
            <w:tcW w:w="900" w:type="dxa"/>
            <w:tcBorders>
              <w:bottom w:val="single" w:sz="4" w:space="0" w:color="auto"/>
            </w:tcBorders>
            <w:vAlign w:val="center"/>
          </w:tcPr>
          <w:p w14:paraId="23AB3E3E" w14:textId="77777777" w:rsidR="005216E6" w:rsidRDefault="005216E6" w:rsidP="00EB2EFB">
            <w:pPr>
              <w:snapToGrid w:val="0"/>
              <w:jc w:val="center"/>
              <w:rPr>
                <w:rFonts w:cs="Arial"/>
                <w:sz w:val="18"/>
                <w:szCs w:val="18"/>
              </w:rPr>
            </w:pPr>
            <w:r>
              <w:rPr>
                <w:rFonts w:cs="Arial"/>
                <w:sz w:val="18"/>
                <w:szCs w:val="18"/>
              </w:rPr>
              <w:t>-</w:t>
            </w:r>
          </w:p>
        </w:tc>
        <w:tc>
          <w:tcPr>
            <w:tcW w:w="990" w:type="dxa"/>
            <w:tcBorders>
              <w:bottom w:val="single" w:sz="4" w:space="0" w:color="auto"/>
            </w:tcBorders>
            <w:vAlign w:val="center"/>
          </w:tcPr>
          <w:p w14:paraId="23AB3E3F" w14:textId="77777777" w:rsidR="005216E6" w:rsidRDefault="005216E6" w:rsidP="00EB2EFB">
            <w:pPr>
              <w:snapToGrid w:val="0"/>
              <w:jc w:val="right"/>
              <w:rPr>
                <w:rFonts w:cs="Arial"/>
                <w:sz w:val="18"/>
                <w:szCs w:val="18"/>
              </w:rPr>
            </w:pPr>
            <w:r>
              <w:rPr>
                <w:rFonts w:cs="Arial"/>
                <w:sz w:val="18"/>
                <w:szCs w:val="18"/>
              </w:rPr>
              <w:t>21,203*</w:t>
            </w:r>
          </w:p>
        </w:tc>
        <w:tc>
          <w:tcPr>
            <w:tcW w:w="990" w:type="dxa"/>
            <w:tcBorders>
              <w:bottom w:val="single" w:sz="4" w:space="0" w:color="auto"/>
            </w:tcBorders>
            <w:vAlign w:val="center"/>
          </w:tcPr>
          <w:p w14:paraId="23AB3E40" w14:textId="77777777" w:rsidR="005216E6" w:rsidRDefault="005216E6" w:rsidP="00EB2EFB">
            <w:pPr>
              <w:snapToGrid w:val="0"/>
              <w:jc w:val="right"/>
              <w:rPr>
                <w:rFonts w:cs="Arial"/>
                <w:sz w:val="18"/>
                <w:szCs w:val="18"/>
              </w:rPr>
            </w:pPr>
            <w:r>
              <w:rPr>
                <w:rFonts w:cs="Arial"/>
                <w:sz w:val="18"/>
                <w:szCs w:val="18"/>
              </w:rPr>
              <w:t>221,303</w:t>
            </w:r>
          </w:p>
        </w:tc>
      </w:tr>
      <w:tr w:rsidR="005216E6" w14:paraId="23AB3E4C" w14:textId="77777777" w:rsidTr="00E12E68">
        <w:trPr>
          <w:cantSplit/>
          <w:trHeight w:val="350"/>
        </w:trPr>
        <w:tc>
          <w:tcPr>
            <w:tcW w:w="2160" w:type="dxa"/>
            <w:vMerge/>
            <w:vAlign w:val="center"/>
          </w:tcPr>
          <w:p w14:paraId="23AB3E42" w14:textId="77777777" w:rsidR="005216E6" w:rsidRDefault="005216E6" w:rsidP="00EB2EFB">
            <w:pPr>
              <w:suppressAutoHyphens w:val="0"/>
              <w:rPr>
                <w:rFonts w:cs="Arial"/>
                <w:sz w:val="18"/>
                <w:szCs w:val="18"/>
              </w:rPr>
            </w:pPr>
          </w:p>
        </w:tc>
        <w:tc>
          <w:tcPr>
            <w:tcW w:w="720" w:type="dxa"/>
            <w:tcBorders>
              <w:top w:val="single" w:sz="4" w:space="0" w:color="auto"/>
            </w:tcBorders>
            <w:vAlign w:val="center"/>
          </w:tcPr>
          <w:p w14:paraId="23AB3E43" w14:textId="77777777" w:rsidR="005216E6" w:rsidRDefault="005216E6" w:rsidP="00D879BB">
            <w:pPr>
              <w:snapToGrid w:val="0"/>
              <w:jc w:val="center"/>
              <w:rPr>
                <w:rFonts w:cs="Arial"/>
                <w:sz w:val="18"/>
                <w:szCs w:val="18"/>
              </w:rPr>
            </w:pPr>
            <w:r>
              <w:rPr>
                <w:rFonts w:cs="Arial"/>
                <w:sz w:val="18"/>
                <w:szCs w:val="18"/>
              </w:rPr>
              <w:t>2014</w:t>
            </w:r>
          </w:p>
        </w:tc>
        <w:tc>
          <w:tcPr>
            <w:tcW w:w="900" w:type="dxa"/>
            <w:tcBorders>
              <w:top w:val="single" w:sz="4" w:space="0" w:color="auto"/>
            </w:tcBorders>
            <w:vAlign w:val="center"/>
          </w:tcPr>
          <w:p w14:paraId="23AB3E44" w14:textId="77777777" w:rsidR="005216E6" w:rsidRDefault="005216E6" w:rsidP="00EB2EFB">
            <w:pPr>
              <w:snapToGrid w:val="0"/>
              <w:jc w:val="right"/>
              <w:rPr>
                <w:rFonts w:cs="Arial"/>
                <w:sz w:val="18"/>
                <w:szCs w:val="18"/>
              </w:rPr>
            </w:pPr>
            <w:r>
              <w:rPr>
                <w:rFonts w:cs="Arial"/>
                <w:sz w:val="18"/>
                <w:szCs w:val="18"/>
              </w:rPr>
              <w:t>172,717</w:t>
            </w:r>
          </w:p>
        </w:tc>
        <w:tc>
          <w:tcPr>
            <w:tcW w:w="900" w:type="dxa"/>
            <w:tcBorders>
              <w:top w:val="single" w:sz="4" w:space="0" w:color="auto"/>
            </w:tcBorders>
            <w:vAlign w:val="center"/>
          </w:tcPr>
          <w:p w14:paraId="23AB3E45" w14:textId="77777777" w:rsidR="005216E6" w:rsidRDefault="005216E6" w:rsidP="00EB2EFB">
            <w:pPr>
              <w:snapToGrid w:val="0"/>
              <w:jc w:val="right"/>
              <w:rPr>
                <w:rFonts w:cs="Arial"/>
                <w:sz w:val="18"/>
                <w:szCs w:val="18"/>
              </w:rPr>
            </w:pPr>
            <w:r>
              <w:rPr>
                <w:rFonts w:cs="Arial"/>
                <w:sz w:val="18"/>
                <w:szCs w:val="18"/>
              </w:rPr>
              <w:t>37,400</w:t>
            </w:r>
          </w:p>
        </w:tc>
        <w:tc>
          <w:tcPr>
            <w:tcW w:w="900" w:type="dxa"/>
            <w:tcBorders>
              <w:top w:val="single" w:sz="4" w:space="0" w:color="auto"/>
            </w:tcBorders>
            <w:vAlign w:val="center"/>
          </w:tcPr>
          <w:p w14:paraId="23AB3E46" w14:textId="77777777" w:rsidR="005216E6" w:rsidRDefault="005216E6" w:rsidP="00EB2EFB">
            <w:pPr>
              <w:snapToGrid w:val="0"/>
              <w:jc w:val="center"/>
              <w:rPr>
                <w:rFonts w:cs="Arial"/>
                <w:sz w:val="18"/>
                <w:szCs w:val="18"/>
              </w:rPr>
            </w:pPr>
            <w:r>
              <w:rPr>
                <w:rFonts w:cs="Arial"/>
                <w:sz w:val="18"/>
                <w:szCs w:val="18"/>
              </w:rPr>
              <w:t>-</w:t>
            </w:r>
          </w:p>
        </w:tc>
        <w:tc>
          <w:tcPr>
            <w:tcW w:w="900" w:type="dxa"/>
            <w:tcBorders>
              <w:top w:val="single" w:sz="4" w:space="0" w:color="auto"/>
            </w:tcBorders>
            <w:vAlign w:val="center"/>
          </w:tcPr>
          <w:p w14:paraId="23AB3E47" w14:textId="77777777" w:rsidR="005216E6" w:rsidRDefault="005216E6" w:rsidP="00EB2EFB">
            <w:pPr>
              <w:snapToGrid w:val="0"/>
              <w:jc w:val="center"/>
              <w:rPr>
                <w:rFonts w:cs="Arial"/>
                <w:sz w:val="18"/>
                <w:szCs w:val="18"/>
              </w:rPr>
            </w:pPr>
            <w:r>
              <w:rPr>
                <w:rFonts w:cs="Arial"/>
                <w:sz w:val="18"/>
                <w:szCs w:val="18"/>
              </w:rPr>
              <w:t>-</w:t>
            </w:r>
          </w:p>
        </w:tc>
        <w:tc>
          <w:tcPr>
            <w:tcW w:w="1080" w:type="dxa"/>
            <w:tcBorders>
              <w:top w:val="single" w:sz="4" w:space="0" w:color="auto"/>
            </w:tcBorders>
            <w:vAlign w:val="center"/>
          </w:tcPr>
          <w:p w14:paraId="23AB3E48" w14:textId="77777777" w:rsidR="005216E6" w:rsidRDefault="005216E6" w:rsidP="00EB2EFB">
            <w:pPr>
              <w:snapToGrid w:val="0"/>
              <w:jc w:val="center"/>
              <w:rPr>
                <w:rFonts w:cs="Arial"/>
                <w:sz w:val="18"/>
                <w:szCs w:val="18"/>
              </w:rPr>
            </w:pPr>
            <w:r>
              <w:rPr>
                <w:rFonts w:cs="Arial"/>
                <w:sz w:val="18"/>
                <w:szCs w:val="18"/>
              </w:rPr>
              <w:t>-</w:t>
            </w:r>
          </w:p>
        </w:tc>
        <w:tc>
          <w:tcPr>
            <w:tcW w:w="900" w:type="dxa"/>
            <w:tcBorders>
              <w:top w:val="single" w:sz="4" w:space="0" w:color="auto"/>
            </w:tcBorders>
            <w:vAlign w:val="center"/>
          </w:tcPr>
          <w:p w14:paraId="23AB3E49" w14:textId="77777777" w:rsidR="005216E6" w:rsidRDefault="005216E6" w:rsidP="00EB2EFB">
            <w:pPr>
              <w:snapToGrid w:val="0"/>
              <w:jc w:val="center"/>
              <w:rPr>
                <w:rFonts w:cs="Arial"/>
                <w:sz w:val="18"/>
                <w:szCs w:val="18"/>
              </w:rPr>
            </w:pPr>
            <w:r>
              <w:rPr>
                <w:rFonts w:cs="Arial"/>
                <w:sz w:val="18"/>
                <w:szCs w:val="18"/>
              </w:rPr>
              <w:t>-</w:t>
            </w:r>
          </w:p>
        </w:tc>
        <w:tc>
          <w:tcPr>
            <w:tcW w:w="990" w:type="dxa"/>
            <w:tcBorders>
              <w:top w:val="single" w:sz="4" w:space="0" w:color="auto"/>
            </w:tcBorders>
            <w:vAlign w:val="center"/>
          </w:tcPr>
          <w:p w14:paraId="23AB3E4A" w14:textId="77777777" w:rsidR="005216E6" w:rsidRDefault="005216E6" w:rsidP="00EB2EFB">
            <w:pPr>
              <w:snapToGrid w:val="0"/>
              <w:jc w:val="right"/>
              <w:rPr>
                <w:rFonts w:cs="Arial"/>
                <w:sz w:val="18"/>
                <w:szCs w:val="18"/>
              </w:rPr>
            </w:pPr>
            <w:r>
              <w:rPr>
                <w:rFonts w:cs="Arial"/>
                <w:sz w:val="18"/>
                <w:szCs w:val="18"/>
              </w:rPr>
              <w:t>21,626*</w:t>
            </w:r>
          </w:p>
        </w:tc>
        <w:tc>
          <w:tcPr>
            <w:tcW w:w="990" w:type="dxa"/>
            <w:tcBorders>
              <w:top w:val="single" w:sz="4" w:space="0" w:color="auto"/>
            </w:tcBorders>
            <w:vAlign w:val="center"/>
          </w:tcPr>
          <w:p w14:paraId="23AB3E4B" w14:textId="77777777" w:rsidR="005216E6" w:rsidRDefault="005216E6" w:rsidP="00EB2EFB">
            <w:pPr>
              <w:snapToGrid w:val="0"/>
              <w:jc w:val="right"/>
              <w:rPr>
                <w:rFonts w:cs="Arial"/>
                <w:sz w:val="18"/>
                <w:szCs w:val="18"/>
              </w:rPr>
            </w:pPr>
            <w:r>
              <w:rPr>
                <w:rFonts w:cs="Arial"/>
                <w:sz w:val="18"/>
                <w:szCs w:val="18"/>
              </w:rPr>
              <w:t>231,743</w:t>
            </w:r>
          </w:p>
        </w:tc>
      </w:tr>
    </w:tbl>
    <w:p w14:paraId="23AB3E4D" w14:textId="77777777" w:rsidR="005216E6" w:rsidRDefault="005216E6" w:rsidP="004B7C21">
      <w:pPr>
        <w:spacing w:after="120"/>
        <w:jc w:val="both"/>
        <w:rPr>
          <w:rFonts w:cs="Arial"/>
          <w:sz w:val="18"/>
          <w:szCs w:val="18"/>
        </w:rPr>
      </w:pPr>
    </w:p>
    <w:p w14:paraId="23AB3E4E" w14:textId="77777777" w:rsidR="004F64EE" w:rsidRDefault="004F64EE" w:rsidP="004B7C21">
      <w:pPr>
        <w:spacing w:after="120"/>
        <w:jc w:val="both"/>
        <w:rPr>
          <w:rFonts w:cs="Arial"/>
          <w:sz w:val="18"/>
          <w:szCs w:val="18"/>
        </w:rPr>
      </w:pPr>
    </w:p>
    <w:p w14:paraId="23AB3E4F" w14:textId="77777777" w:rsidR="005216E6" w:rsidRPr="0001023C" w:rsidRDefault="005216E6" w:rsidP="00510E4E">
      <w:pPr>
        <w:spacing w:after="120"/>
        <w:jc w:val="both"/>
        <w:rPr>
          <w:rFonts w:cs="Arial"/>
          <w:sz w:val="18"/>
          <w:szCs w:val="18"/>
        </w:rPr>
      </w:pPr>
      <w:r w:rsidRPr="00510E4E">
        <w:rPr>
          <w:rFonts w:cs="Arial"/>
          <w:sz w:val="18"/>
          <w:szCs w:val="18"/>
        </w:rPr>
        <w:lastRenderedPageBreak/>
        <w:t>*</w:t>
      </w:r>
      <w:r>
        <w:rPr>
          <w:rFonts w:cs="Arial"/>
          <w:sz w:val="18"/>
          <w:szCs w:val="18"/>
        </w:rPr>
        <w:t xml:space="preserve"> In both 2013 and 2014 under the Company’s 401(k) plan for all of its employees, the Company made a contribution of up to 4% of each employee’s salary, matching an employee’s elective deferral of up to 4% of salary. In addition, in 2009 the Company began making a discretionary contribution to all employees’ 401(k) accounts based on a formula that qualifies the 401(k) plan under Internal Revenue Service (“IRS”) Safe Harbor provisions. These amounts represent the Company's contribution for each year. There are no other items included in these amounts.</w:t>
      </w:r>
    </w:p>
    <w:p w14:paraId="23AB3E50" w14:textId="77777777" w:rsidR="005216E6" w:rsidRDefault="005216E6" w:rsidP="00EB2EFB">
      <w:pPr>
        <w:keepNext/>
        <w:spacing w:before="120"/>
        <w:jc w:val="both"/>
        <w:rPr>
          <w:b/>
          <w:bCs/>
          <w:sz w:val="22"/>
          <w:szCs w:val="22"/>
        </w:rPr>
      </w:pPr>
      <w:r>
        <w:rPr>
          <w:b/>
          <w:bCs/>
          <w:sz w:val="22"/>
          <w:szCs w:val="22"/>
        </w:rPr>
        <w:t>Pension Plans</w:t>
      </w:r>
    </w:p>
    <w:p w14:paraId="23AB3E51" w14:textId="77777777" w:rsidR="005216E6" w:rsidRPr="004F64EE" w:rsidRDefault="005216E6" w:rsidP="00B9501A">
      <w:pPr>
        <w:pStyle w:val="NormalWeb"/>
        <w:ind w:firstLine="720"/>
        <w:jc w:val="both"/>
        <w:rPr>
          <w:rFonts w:ascii="Arial" w:hAnsi="Arial" w:cs="Arial"/>
          <w:bCs/>
          <w:sz w:val="21"/>
          <w:szCs w:val="21"/>
        </w:rPr>
      </w:pPr>
      <w:r w:rsidRPr="0036413D">
        <w:rPr>
          <w:rFonts w:ascii="Arial" w:hAnsi="Arial" w:cs="Arial"/>
          <w:bCs/>
          <w:sz w:val="21"/>
          <w:szCs w:val="21"/>
        </w:rPr>
        <w:t>The Company sponsors a 401(k) defined contribution plan ("DC Plan") that provides for a dollar-for-dollar employer matching contribution of up to 4% of each employee's pay that is deferred under the DC Plan. Employees become fully vested in employer matching contributions after one year of employment. Company 401(k) matching contributions were approximately</w:t>
      </w:r>
      <w:r w:rsidR="00B9501A" w:rsidRPr="0036413D">
        <w:rPr>
          <w:rFonts w:ascii="Arial" w:hAnsi="Arial" w:cs="Arial"/>
          <w:bCs/>
          <w:sz w:val="21"/>
          <w:szCs w:val="21"/>
        </w:rPr>
        <w:t xml:space="preserve"> $</w:t>
      </w:r>
      <w:r w:rsidR="00466BD2" w:rsidRPr="0036413D">
        <w:rPr>
          <w:rFonts w:ascii="Arial" w:hAnsi="Arial" w:cs="Arial"/>
          <w:bCs/>
          <w:sz w:val="21"/>
          <w:szCs w:val="21"/>
        </w:rPr>
        <w:t>104,000</w:t>
      </w:r>
      <w:r w:rsidR="00B9501A" w:rsidRPr="0036413D">
        <w:rPr>
          <w:rFonts w:ascii="Arial" w:hAnsi="Arial" w:cs="Arial"/>
          <w:bCs/>
          <w:sz w:val="21"/>
          <w:szCs w:val="21"/>
        </w:rPr>
        <w:t xml:space="preserve"> and</w:t>
      </w:r>
      <w:r w:rsidRPr="0036413D">
        <w:rPr>
          <w:rFonts w:ascii="Arial" w:hAnsi="Arial" w:cs="Arial"/>
          <w:bCs/>
          <w:sz w:val="21"/>
          <w:szCs w:val="21"/>
        </w:rPr>
        <w:t xml:space="preserve"> $101,000 for the years ended December 31, 2014 and 2013, respectively. In 2014 </w:t>
      </w:r>
      <w:r w:rsidR="00B9501A" w:rsidRPr="0036413D">
        <w:rPr>
          <w:rFonts w:ascii="Arial" w:hAnsi="Arial" w:cs="Arial"/>
          <w:bCs/>
          <w:sz w:val="21"/>
          <w:szCs w:val="21"/>
        </w:rPr>
        <w:t xml:space="preserve">and 2013 </w:t>
      </w:r>
      <w:r w:rsidRPr="0036413D">
        <w:rPr>
          <w:rFonts w:ascii="Arial" w:hAnsi="Arial" w:cs="Arial"/>
          <w:bCs/>
          <w:sz w:val="21"/>
          <w:szCs w:val="21"/>
        </w:rPr>
        <w:t xml:space="preserve">employees were able to defer up to </w:t>
      </w:r>
      <w:r w:rsidR="00B9501A" w:rsidRPr="0036413D">
        <w:rPr>
          <w:rFonts w:ascii="Arial" w:hAnsi="Arial" w:cs="Arial"/>
          <w:bCs/>
          <w:sz w:val="21"/>
          <w:szCs w:val="21"/>
        </w:rPr>
        <w:t xml:space="preserve">$17,500 and </w:t>
      </w:r>
      <w:r w:rsidRPr="0036413D">
        <w:rPr>
          <w:rFonts w:ascii="Arial" w:hAnsi="Arial" w:cs="Arial"/>
          <w:bCs/>
          <w:sz w:val="21"/>
          <w:szCs w:val="21"/>
        </w:rPr>
        <w:t>$16,500</w:t>
      </w:r>
      <w:r w:rsidR="00B9501A" w:rsidRPr="0036413D">
        <w:rPr>
          <w:rFonts w:ascii="Arial" w:hAnsi="Arial" w:cs="Arial"/>
          <w:bCs/>
          <w:sz w:val="21"/>
          <w:szCs w:val="21"/>
        </w:rPr>
        <w:t>, respectively,</w:t>
      </w:r>
      <w:r w:rsidRPr="0036413D">
        <w:rPr>
          <w:rFonts w:ascii="Arial" w:hAnsi="Arial" w:cs="Arial"/>
          <w:bCs/>
          <w:sz w:val="21"/>
          <w:szCs w:val="21"/>
        </w:rPr>
        <w:t xml:space="preserve"> of their yearly pay as a pre-tax investment in the 401(k) plan</w:t>
      </w:r>
      <w:r w:rsidR="00B9501A" w:rsidRPr="0036413D">
        <w:rPr>
          <w:rFonts w:ascii="Arial" w:hAnsi="Arial" w:cs="Arial"/>
          <w:bCs/>
          <w:sz w:val="21"/>
          <w:szCs w:val="21"/>
        </w:rPr>
        <w:t xml:space="preserve"> (plus </w:t>
      </w:r>
      <w:r w:rsidR="00466BD2" w:rsidRPr="0036413D">
        <w:rPr>
          <w:rFonts w:ascii="Arial" w:hAnsi="Arial" w:cs="Arial"/>
          <w:bCs/>
          <w:sz w:val="21"/>
          <w:szCs w:val="21"/>
        </w:rPr>
        <w:t xml:space="preserve">an additional </w:t>
      </w:r>
      <w:r w:rsidR="00B9501A" w:rsidRPr="0036413D">
        <w:rPr>
          <w:rFonts w:ascii="Arial" w:hAnsi="Arial" w:cs="Arial"/>
          <w:bCs/>
          <w:sz w:val="21"/>
          <w:szCs w:val="21"/>
        </w:rPr>
        <w:t>$5,500 for employees over the age of 50)</w:t>
      </w:r>
      <w:r w:rsidR="00466BD2" w:rsidRPr="0036413D">
        <w:rPr>
          <w:rFonts w:ascii="Arial" w:hAnsi="Arial" w:cs="Arial"/>
          <w:bCs/>
          <w:sz w:val="21"/>
          <w:szCs w:val="21"/>
        </w:rPr>
        <w:t xml:space="preserve">, </w:t>
      </w:r>
      <w:r w:rsidRPr="0036413D">
        <w:rPr>
          <w:rFonts w:ascii="Arial" w:hAnsi="Arial" w:cs="Arial"/>
          <w:bCs/>
          <w:sz w:val="21"/>
          <w:szCs w:val="21"/>
        </w:rPr>
        <w:t>in accordance with limits set by the IRS</w:t>
      </w:r>
      <w:r w:rsidR="00B9501A" w:rsidRPr="0036413D">
        <w:rPr>
          <w:rFonts w:ascii="Arial" w:hAnsi="Arial" w:cs="Arial"/>
          <w:bCs/>
          <w:sz w:val="21"/>
          <w:szCs w:val="21"/>
        </w:rPr>
        <w:t xml:space="preserve"> </w:t>
      </w:r>
    </w:p>
    <w:p w14:paraId="23AB3E52" w14:textId="77777777" w:rsidR="005216E6" w:rsidRPr="004F64EE" w:rsidRDefault="005216E6" w:rsidP="004F64EE">
      <w:pPr>
        <w:pStyle w:val="NormalWeb"/>
        <w:ind w:firstLine="720"/>
        <w:jc w:val="both"/>
        <w:rPr>
          <w:rFonts w:ascii="Arial" w:hAnsi="Arial" w:cs="Arial"/>
          <w:bCs/>
          <w:sz w:val="21"/>
          <w:szCs w:val="21"/>
        </w:rPr>
      </w:pPr>
      <w:r w:rsidRPr="004F64EE">
        <w:rPr>
          <w:rFonts w:ascii="Arial" w:hAnsi="Arial" w:cs="Arial"/>
          <w:bCs/>
          <w:sz w:val="21"/>
          <w:szCs w:val="21"/>
        </w:rPr>
        <w:t xml:space="preserve">The Company also makes discretionary contributions to each employee's account based on a "pay-to-pay" safe-harbor formula that qualifies the 401(k) plan under current IRS regulations. In November 2014 and November 2013 the Company’s </w:t>
      </w:r>
      <w:r w:rsidR="006F31D2" w:rsidRPr="004F64EE">
        <w:rPr>
          <w:rFonts w:ascii="Arial" w:hAnsi="Arial" w:cs="Arial"/>
          <w:bCs/>
          <w:sz w:val="21"/>
          <w:szCs w:val="21"/>
        </w:rPr>
        <w:t>Board</w:t>
      </w:r>
      <w:r w:rsidRPr="004F64EE">
        <w:rPr>
          <w:rFonts w:ascii="Arial" w:hAnsi="Arial" w:cs="Arial"/>
          <w:bCs/>
          <w:sz w:val="21"/>
          <w:szCs w:val="21"/>
        </w:rPr>
        <w:t xml:space="preserve"> authorized discretionary contributions in the amount of $175,000 per year, to be allocated </w:t>
      </w:r>
      <w:r w:rsidR="001B7ED5">
        <w:rPr>
          <w:rFonts w:ascii="Arial" w:hAnsi="Arial" w:cs="Arial"/>
          <w:bCs/>
          <w:sz w:val="21"/>
          <w:szCs w:val="21"/>
        </w:rPr>
        <w:t>among</w:t>
      </w:r>
      <w:r w:rsidRPr="004F64EE">
        <w:rPr>
          <w:rFonts w:ascii="Arial" w:hAnsi="Arial" w:cs="Arial"/>
          <w:bCs/>
          <w:sz w:val="21"/>
          <w:szCs w:val="21"/>
        </w:rPr>
        <w:t xml:space="preserve"> all eligible employees, for the 2014 and 2013 plan years. The </w:t>
      </w:r>
      <w:r w:rsidR="00FC1BA0">
        <w:rPr>
          <w:rFonts w:ascii="Arial" w:hAnsi="Arial" w:cs="Arial"/>
          <w:bCs/>
          <w:sz w:val="21"/>
          <w:szCs w:val="21"/>
        </w:rPr>
        <w:t>C</w:t>
      </w:r>
      <w:r w:rsidR="001B7ED5">
        <w:rPr>
          <w:rFonts w:ascii="Arial" w:hAnsi="Arial" w:cs="Arial"/>
          <w:bCs/>
          <w:sz w:val="21"/>
          <w:szCs w:val="21"/>
        </w:rPr>
        <w:t xml:space="preserve">ompany </w:t>
      </w:r>
      <w:r w:rsidRPr="004F64EE">
        <w:rPr>
          <w:rFonts w:ascii="Arial" w:hAnsi="Arial" w:cs="Arial"/>
          <w:bCs/>
          <w:sz w:val="21"/>
          <w:szCs w:val="21"/>
        </w:rPr>
        <w:t xml:space="preserve">contribution for 2014 was paid into the DC Plan in </w:t>
      </w:r>
      <w:r w:rsidR="001B7ED5">
        <w:rPr>
          <w:rFonts w:ascii="Arial" w:hAnsi="Arial" w:cs="Arial"/>
          <w:bCs/>
          <w:sz w:val="21"/>
          <w:szCs w:val="21"/>
        </w:rPr>
        <w:t xml:space="preserve">December </w:t>
      </w:r>
      <w:r w:rsidRPr="004F64EE">
        <w:rPr>
          <w:rFonts w:ascii="Arial" w:hAnsi="Arial" w:cs="Arial"/>
          <w:bCs/>
          <w:sz w:val="21"/>
          <w:szCs w:val="21"/>
        </w:rPr>
        <w:t xml:space="preserve">2014, and the 2013 contribution was paid in </w:t>
      </w:r>
      <w:r w:rsidR="001B7ED5">
        <w:rPr>
          <w:rFonts w:ascii="Arial" w:hAnsi="Arial" w:cs="Arial"/>
          <w:bCs/>
          <w:sz w:val="21"/>
          <w:szCs w:val="21"/>
        </w:rPr>
        <w:t xml:space="preserve">December </w:t>
      </w:r>
      <w:r w:rsidRPr="004F64EE">
        <w:rPr>
          <w:rFonts w:ascii="Arial" w:hAnsi="Arial" w:cs="Arial"/>
          <w:bCs/>
          <w:sz w:val="21"/>
          <w:szCs w:val="21"/>
        </w:rPr>
        <w:t xml:space="preserve">2013. The </w:t>
      </w:r>
      <w:r w:rsidR="001B7ED5">
        <w:rPr>
          <w:rFonts w:ascii="Arial" w:hAnsi="Arial" w:cs="Arial"/>
          <w:bCs/>
          <w:sz w:val="21"/>
          <w:szCs w:val="21"/>
        </w:rPr>
        <w:t xml:space="preserve">allocated amounts </w:t>
      </w:r>
      <w:r w:rsidR="00922562">
        <w:rPr>
          <w:rFonts w:ascii="Arial" w:hAnsi="Arial" w:cs="Arial"/>
          <w:bCs/>
          <w:sz w:val="21"/>
          <w:szCs w:val="21"/>
        </w:rPr>
        <w:t xml:space="preserve">for FY-2014 and FY-2013 </w:t>
      </w:r>
      <w:r w:rsidR="001B7ED5">
        <w:rPr>
          <w:rFonts w:ascii="Arial" w:hAnsi="Arial" w:cs="Arial"/>
          <w:bCs/>
          <w:sz w:val="21"/>
          <w:szCs w:val="21"/>
        </w:rPr>
        <w:t xml:space="preserve">were paid into </w:t>
      </w:r>
      <w:r w:rsidRPr="004F64EE">
        <w:rPr>
          <w:rFonts w:ascii="Arial" w:hAnsi="Arial" w:cs="Arial"/>
          <w:bCs/>
          <w:sz w:val="21"/>
          <w:szCs w:val="21"/>
        </w:rPr>
        <w:t>each employee’s account in January 2015 and January 2014, respectively.  Employees become vested in the discretionary contributions as follows: 20% after two years of employment, and 20% for each year of employment thereafter until the employee becomes fully vested after six years of employment.</w:t>
      </w:r>
    </w:p>
    <w:p w14:paraId="23AB3E53" w14:textId="77777777" w:rsidR="005216E6" w:rsidRPr="004F64EE" w:rsidRDefault="005216E6" w:rsidP="004F64EE">
      <w:pPr>
        <w:pStyle w:val="NormalWeb"/>
        <w:ind w:firstLine="720"/>
        <w:jc w:val="both"/>
        <w:rPr>
          <w:rFonts w:ascii="Arial" w:hAnsi="Arial" w:cs="Arial"/>
          <w:bCs/>
          <w:sz w:val="21"/>
          <w:szCs w:val="21"/>
        </w:rPr>
      </w:pPr>
      <w:r w:rsidRPr="004F64EE">
        <w:rPr>
          <w:rFonts w:ascii="Arial" w:hAnsi="Arial" w:cs="Arial"/>
          <w:bCs/>
          <w:sz w:val="21"/>
          <w:szCs w:val="21"/>
        </w:rPr>
        <w:t xml:space="preserve"> A</w:t>
      </w:r>
      <w:r w:rsidR="00FC1BA0" w:rsidRPr="004F64EE">
        <w:rPr>
          <w:rFonts w:ascii="Arial" w:hAnsi="Arial" w:cs="Arial"/>
          <w:bCs/>
          <w:sz w:val="21"/>
          <w:szCs w:val="21"/>
        </w:rPr>
        <w:t>ll</w:t>
      </w:r>
      <w:r w:rsidRPr="004F64EE">
        <w:rPr>
          <w:rFonts w:ascii="Arial" w:hAnsi="Arial" w:cs="Arial"/>
          <w:bCs/>
          <w:sz w:val="21"/>
          <w:szCs w:val="21"/>
        </w:rPr>
        <w:t xml:space="preserve"> of the persons named in the Summary Compensation Table above participated in the DC Plan and were fully vested as of December 31, 2014.</w:t>
      </w:r>
    </w:p>
    <w:p w14:paraId="23AB3E54" w14:textId="77777777" w:rsidR="005216E6" w:rsidRDefault="005216E6" w:rsidP="00EB2EFB">
      <w:pPr>
        <w:keepNext/>
        <w:jc w:val="both"/>
        <w:rPr>
          <w:rFonts w:cs="Arial"/>
          <w:b/>
          <w:sz w:val="22"/>
          <w:szCs w:val="22"/>
        </w:rPr>
      </w:pPr>
      <w:r>
        <w:rPr>
          <w:rFonts w:cs="Arial"/>
          <w:b/>
          <w:sz w:val="22"/>
          <w:szCs w:val="22"/>
        </w:rPr>
        <w:t>Outstanding Equity Awards at Fiscal Year-End</w:t>
      </w:r>
    </w:p>
    <w:p w14:paraId="23AB3E55" w14:textId="77777777" w:rsidR="005216E6" w:rsidRPr="004F64EE" w:rsidRDefault="005216E6" w:rsidP="004F64EE">
      <w:pPr>
        <w:pStyle w:val="NormalWeb"/>
        <w:ind w:firstLine="720"/>
        <w:jc w:val="both"/>
        <w:rPr>
          <w:rFonts w:cs="Arial"/>
          <w:bCs/>
          <w:sz w:val="21"/>
          <w:szCs w:val="21"/>
        </w:rPr>
      </w:pPr>
      <w:r w:rsidRPr="004F64EE">
        <w:rPr>
          <w:rFonts w:ascii="Arial" w:hAnsi="Arial" w:cs="Arial"/>
          <w:bCs/>
          <w:sz w:val="21"/>
          <w:szCs w:val="21"/>
        </w:rPr>
        <w:t>As of December 31, 2014, there were no outstanding equity awards held by the persons named in the Summary Compensation Table above.</w:t>
      </w:r>
      <w:r w:rsidR="001B7ED5">
        <w:rPr>
          <w:rFonts w:ascii="Arial" w:hAnsi="Arial" w:cs="Arial"/>
          <w:bCs/>
          <w:sz w:val="21"/>
          <w:szCs w:val="21"/>
        </w:rPr>
        <w:t xml:space="preserve"> The Company’s previous stock option plan, which had been adopted in March 2004, expired in March 2014.</w:t>
      </w:r>
    </w:p>
    <w:p w14:paraId="23AB3E56" w14:textId="77777777" w:rsidR="005216E6" w:rsidRDefault="005216E6" w:rsidP="00EB2EFB">
      <w:pPr>
        <w:keepNext/>
        <w:jc w:val="both"/>
        <w:rPr>
          <w:rFonts w:cs="Arial"/>
          <w:b/>
          <w:sz w:val="22"/>
          <w:szCs w:val="22"/>
        </w:rPr>
      </w:pPr>
      <w:r>
        <w:rPr>
          <w:rFonts w:cs="Arial"/>
          <w:b/>
          <w:sz w:val="22"/>
          <w:szCs w:val="22"/>
        </w:rPr>
        <w:t xml:space="preserve">Director Compensation </w:t>
      </w:r>
    </w:p>
    <w:p w14:paraId="23AB3E57" w14:textId="77777777" w:rsidR="005216E6" w:rsidRDefault="005216E6" w:rsidP="00EB2EFB">
      <w:pPr>
        <w:keepNext/>
        <w:jc w:val="both"/>
        <w:rPr>
          <w:rFonts w:cs="Arial"/>
          <w:sz w:val="20"/>
        </w:rPr>
      </w:pPr>
    </w:p>
    <w:p w14:paraId="23AB3E58" w14:textId="77777777" w:rsidR="00620703" w:rsidRDefault="005216E6" w:rsidP="00EB2EFB">
      <w:pPr>
        <w:keepNext/>
        <w:jc w:val="both"/>
        <w:rPr>
          <w:rFonts w:cs="Arial"/>
          <w:sz w:val="21"/>
          <w:szCs w:val="21"/>
        </w:rPr>
      </w:pPr>
      <w:r w:rsidRPr="004F64EE">
        <w:rPr>
          <w:rFonts w:cs="Arial"/>
          <w:sz w:val="21"/>
          <w:szCs w:val="21"/>
        </w:rPr>
        <w:t xml:space="preserve">     </w:t>
      </w:r>
      <w:r w:rsidRPr="004F64EE">
        <w:rPr>
          <w:rFonts w:cs="Arial"/>
          <w:sz w:val="21"/>
          <w:szCs w:val="21"/>
        </w:rPr>
        <w:tab/>
        <w:t>Effective January 1, 2015, the annual retainer paid to each non-employee Director was increased to $12,000 from $11,500 (paid quarterly). Effective July 1, 2011, Director fees for meetings of both the full Board and for Audit Committee meetings increased by $250 per director per meeting. Directors who are not employees of the Company each receive a fee of $1,750 for each Board meeting attended. Directors who are employees of the Company receive no separate compensation for their service as directors. Each Audit Committee member and Mr. Lawrence F. Maietta, as an adviser to the Committee, receives a retainer of $750 per quarter. Mr. Arthur M. Dresner, the Committee Chairman, receives an additional $250 per quarter. In addition, each receives a fee of $1,500 for the Annual Audit Committee Meeting and $1,000 for each quarterly meeting. The Audit Committee Chairman, Mr. Arthur M. Dresner, receives an additional $1,250 for the Annual Audit Committee Meeting and an additional $750 for each quarterly meeting. The Committee Secretary, Mr. Andrew A. Boccone, receives an additional $250 for each meeting. Compensation Committee members each receive a fee of $1,000 for each meeting attended. No fees are paid for meetings of the independent directors.</w:t>
      </w:r>
    </w:p>
    <w:p w14:paraId="23AB3E59" w14:textId="77777777" w:rsidR="00620703" w:rsidRDefault="00620703" w:rsidP="00EB2EFB">
      <w:pPr>
        <w:keepNext/>
        <w:jc w:val="both"/>
        <w:rPr>
          <w:rFonts w:cs="Arial"/>
          <w:sz w:val="21"/>
          <w:szCs w:val="21"/>
        </w:rPr>
      </w:pPr>
    </w:p>
    <w:p w14:paraId="23AB3E5A" w14:textId="77777777" w:rsidR="00620703" w:rsidRPr="004F64EE" w:rsidRDefault="00620703" w:rsidP="004F64EE">
      <w:pPr>
        <w:ind w:firstLine="720"/>
        <w:rPr>
          <w:sz w:val="21"/>
          <w:szCs w:val="21"/>
        </w:rPr>
      </w:pPr>
      <w:r w:rsidRPr="004F64EE">
        <w:rPr>
          <w:sz w:val="21"/>
          <w:szCs w:val="21"/>
        </w:rPr>
        <w:t>The following table sets forth for the fiscal year ended December 31, 2014 certain information concerning the compensation paid to Directors of the Company who are not “named executive officers” (as such term is defined in Item 402(m)(2) of Regulation S-K):</w:t>
      </w:r>
    </w:p>
    <w:p w14:paraId="23AB3E5B" w14:textId="77777777" w:rsidR="00620703" w:rsidRDefault="00620703" w:rsidP="00620703"/>
    <w:p w14:paraId="23AB3E5C" w14:textId="77777777" w:rsidR="005216E6" w:rsidRDefault="005216E6" w:rsidP="00EB2EFB">
      <w:pPr>
        <w:keepNext/>
        <w:spacing w:line="220" w:lineRule="exact"/>
        <w:jc w:val="both"/>
      </w:pPr>
    </w:p>
    <w:tbl>
      <w:tblPr>
        <w:tblW w:w="0" w:type="auto"/>
        <w:tblInd w:w="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250"/>
        <w:gridCol w:w="990"/>
        <w:gridCol w:w="720"/>
        <w:gridCol w:w="900"/>
        <w:gridCol w:w="1314"/>
        <w:gridCol w:w="1386"/>
        <w:gridCol w:w="1314"/>
        <w:gridCol w:w="810"/>
      </w:tblGrid>
      <w:tr w:rsidR="005216E6" w14:paraId="23AB3E77" w14:textId="77777777" w:rsidTr="00342DB7">
        <w:tc>
          <w:tcPr>
            <w:tcW w:w="2250" w:type="dxa"/>
          </w:tcPr>
          <w:p w14:paraId="23AB3E5D" w14:textId="77777777" w:rsidR="005216E6" w:rsidRDefault="005216E6" w:rsidP="00EB2EFB">
            <w:pPr>
              <w:pStyle w:val="TableContents"/>
              <w:keepNext/>
              <w:snapToGrid w:val="0"/>
              <w:rPr>
                <w:sz w:val="18"/>
                <w:szCs w:val="18"/>
              </w:rPr>
            </w:pPr>
          </w:p>
          <w:p w14:paraId="23AB3E5E" w14:textId="77777777" w:rsidR="005216E6" w:rsidRDefault="005216E6" w:rsidP="00EB2EFB">
            <w:pPr>
              <w:pStyle w:val="TableContents"/>
              <w:keepNext/>
              <w:snapToGrid w:val="0"/>
              <w:rPr>
                <w:sz w:val="18"/>
                <w:szCs w:val="18"/>
              </w:rPr>
            </w:pPr>
          </w:p>
          <w:p w14:paraId="23AB3E5F" w14:textId="77777777" w:rsidR="005216E6" w:rsidRDefault="005216E6" w:rsidP="00EB2EFB">
            <w:pPr>
              <w:pStyle w:val="TableContents"/>
              <w:keepNext/>
              <w:snapToGrid w:val="0"/>
              <w:rPr>
                <w:sz w:val="18"/>
                <w:szCs w:val="18"/>
              </w:rPr>
            </w:pPr>
          </w:p>
          <w:p w14:paraId="23AB3E60" w14:textId="77777777" w:rsidR="005216E6" w:rsidRDefault="005216E6" w:rsidP="00EB2EFB">
            <w:pPr>
              <w:pStyle w:val="TableContents"/>
              <w:keepNext/>
              <w:snapToGrid w:val="0"/>
              <w:rPr>
                <w:sz w:val="18"/>
                <w:szCs w:val="18"/>
              </w:rPr>
            </w:pPr>
            <w:r>
              <w:rPr>
                <w:sz w:val="18"/>
                <w:szCs w:val="18"/>
              </w:rPr>
              <w:t>Name</w:t>
            </w:r>
          </w:p>
        </w:tc>
        <w:tc>
          <w:tcPr>
            <w:tcW w:w="990" w:type="dxa"/>
          </w:tcPr>
          <w:p w14:paraId="23AB3E61" w14:textId="77777777" w:rsidR="005216E6" w:rsidRDefault="005216E6" w:rsidP="00EB2EFB">
            <w:pPr>
              <w:pStyle w:val="TableContents"/>
              <w:keepNext/>
              <w:snapToGrid w:val="0"/>
              <w:jc w:val="center"/>
              <w:rPr>
                <w:sz w:val="18"/>
                <w:szCs w:val="18"/>
              </w:rPr>
            </w:pPr>
            <w:r>
              <w:rPr>
                <w:sz w:val="18"/>
                <w:szCs w:val="18"/>
              </w:rPr>
              <w:t>Fees earned or paid in</w:t>
            </w:r>
          </w:p>
          <w:p w14:paraId="23AB3E62" w14:textId="77777777" w:rsidR="005216E6" w:rsidRDefault="005216E6" w:rsidP="00EB2EFB">
            <w:pPr>
              <w:pStyle w:val="TableContents"/>
              <w:keepNext/>
              <w:snapToGrid w:val="0"/>
              <w:jc w:val="center"/>
              <w:rPr>
                <w:sz w:val="18"/>
                <w:szCs w:val="18"/>
              </w:rPr>
            </w:pPr>
            <w:r>
              <w:rPr>
                <w:sz w:val="18"/>
                <w:szCs w:val="18"/>
              </w:rPr>
              <w:t xml:space="preserve"> cash</w:t>
            </w:r>
          </w:p>
          <w:p w14:paraId="23AB3E63" w14:textId="77777777" w:rsidR="005216E6" w:rsidRDefault="005216E6" w:rsidP="00EB2EFB">
            <w:pPr>
              <w:pStyle w:val="TableContents"/>
              <w:keepNext/>
              <w:snapToGrid w:val="0"/>
              <w:jc w:val="center"/>
              <w:rPr>
                <w:sz w:val="18"/>
                <w:szCs w:val="18"/>
              </w:rPr>
            </w:pPr>
            <w:r>
              <w:rPr>
                <w:sz w:val="18"/>
                <w:szCs w:val="18"/>
              </w:rPr>
              <w:t>($)</w:t>
            </w:r>
          </w:p>
        </w:tc>
        <w:tc>
          <w:tcPr>
            <w:tcW w:w="720" w:type="dxa"/>
          </w:tcPr>
          <w:p w14:paraId="23AB3E64" w14:textId="77777777" w:rsidR="005216E6" w:rsidRDefault="005216E6" w:rsidP="00EB2EFB">
            <w:pPr>
              <w:pStyle w:val="TableContents"/>
              <w:keepNext/>
              <w:snapToGrid w:val="0"/>
              <w:jc w:val="center"/>
              <w:rPr>
                <w:sz w:val="18"/>
                <w:szCs w:val="18"/>
              </w:rPr>
            </w:pPr>
          </w:p>
          <w:p w14:paraId="23AB3E65" w14:textId="77777777" w:rsidR="005216E6" w:rsidRDefault="005216E6" w:rsidP="00EB2EFB">
            <w:pPr>
              <w:pStyle w:val="TableContents"/>
              <w:keepNext/>
              <w:snapToGrid w:val="0"/>
              <w:jc w:val="center"/>
              <w:rPr>
                <w:sz w:val="18"/>
                <w:szCs w:val="18"/>
              </w:rPr>
            </w:pPr>
          </w:p>
          <w:p w14:paraId="23AB3E66" w14:textId="77777777" w:rsidR="005216E6" w:rsidRDefault="005216E6" w:rsidP="00EB2EFB">
            <w:pPr>
              <w:pStyle w:val="TableContents"/>
              <w:keepNext/>
              <w:snapToGrid w:val="0"/>
              <w:jc w:val="center"/>
              <w:rPr>
                <w:sz w:val="18"/>
                <w:szCs w:val="18"/>
              </w:rPr>
            </w:pPr>
            <w:r>
              <w:rPr>
                <w:sz w:val="18"/>
                <w:szCs w:val="18"/>
              </w:rPr>
              <w:t>Stock awards ($)</w:t>
            </w:r>
          </w:p>
        </w:tc>
        <w:tc>
          <w:tcPr>
            <w:tcW w:w="900" w:type="dxa"/>
          </w:tcPr>
          <w:p w14:paraId="23AB3E67" w14:textId="77777777" w:rsidR="005216E6" w:rsidRDefault="005216E6" w:rsidP="00EB2EFB">
            <w:pPr>
              <w:pStyle w:val="TableContents"/>
              <w:keepNext/>
              <w:snapToGrid w:val="0"/>
              <w:jc w:val="center"/>
              <w:rPr>
                <w:sz w:val="18"/>
                <w:szCs w:val="18"/>
              </w:rPr>
            </w:pPr>
          </w:p>
          <w:p w14:paraId="23AB3E68" w14:textId="77777777" w:rsidR="005216E6" w:rsidRDefault="005216E6" w:rsidP="00EB2EFB">
            <w:pPr>
              <w:pStyle w:val="TableContents"/>
              <w:keepNext/>
              <w:snapToGrid w:val="0"/>
              <w:jc w:val="center"/>
              <w:rPr>
                <w:sz w:val="18"/>
                <w:szCs w:val="18"/>
              </w:rPr>
            </w:pPr>
          </w:p>
          <w:p w14:paraId="23AB3E69" w14:textId="77777777" w:rsidR="005216E6" w:rsidRDefault="005216E6" w:rsidP="00EB2EFB">
            <w:pPr>
              <w:pStyle w:val="TableContents"/>
              <w:keepNext/>
              <w:snapToGrid w:val="0"/>
              <w:jc w:val="center"/>
              <w:rPr>
                <w:sz w:val="18"/>
                <w:szCs w:val="18"/>
              </w:rPr>
            </w:pPr>
            <w:r>
              <w:rPr>
                <w:sz w:val="18"/>
                <w:szCs w:val="18"/>
              </w:rPr>
              <w:t>Option awards ($)</w:t>
            </w:r>
          </w:p>
        </w:tc>
        <w:tc>
          <w:tcPr>
            <w:tcW w:w="1314" w:type="dxa"/>
          </w:tcPr>
          <w:p w14:paraId="23AB3E6A" w14:textId="77777777" w:rsidR="005216E6" w:rsidRDefault="005216E6" w:rsidP="00EB2EFB">
            <w:pPr>
              <w:pStyle w:val="TableContents"/>
              <w:keepNext/>
              <w:snapToGrid w:val="0"/>
              <w:jc w:val="center"/>
              <w:rPr>
                <w:sz w:val="18"/>
                <w:szCs w:val="18"/>
              </w:rPr>
            </w:pPr>
            <w:r>
              <w:rPr>
                <w:sz w:val="18"/>
                <w:szCs w:val="18"/>
              </w:rPr>
              <w:t>Non-Equity incentive</w:t>
            </w:r>
          </w:p>
          <w:p w14:paraId="23AB3E6B" w14:textId="77777777" w:rsidR="005216E6" w:rsidRDefault="005216E6" w:rsidP="00EB2EFB">
            <w:pPr>
              <w:pStyle w:val="TableContents"/>
              <w:keepNext/>
              <w:snapToGrid w:val="0"/>
              <w:jc w:val="center"/>
              <w:rPr>
                <w:sz w:val="18"/>
                <w:szCs w:val="18"/>
              </w:rPr>
            </w:pPr>
            <w:r>
              <w:rPr>
                <w:sz w:val="18"/>
                <w:szCs w:val="18"/>
              </w:rPr>
              <w:t>plan</w:t>
            </w:r>
          </w:p>
          <w:p w14:paraId="23AB3E6C" w14:textId="77777777" w:rsidR="005216E6" w:rsidRDefault="005216E6" w:rsidP="00EB2EFB">
            <w:pPr>
              <w:pStyle w:val="TableContents"/>
              <w:keepNext/>
              <w:snapToGrid w:val="0"/>
              <w:jc w:val="center"/>
              <w:rPr>
                <w:sz w:val="18"/>
                <w:szCs w:val="18"/>
              </w:rPr>
            </w:pPr>
            <w:r>
              <w:rPr>
                <w:sz w:val="18"/>
                <w:szCs w:val="18"/>
              </w:rPr>
              <w:t xml:space="preserve"> compensation ($)</w:t>
            </w:r>
          </w:p>
        </w:tc>
        <w:tc>
          <w:tcPr>
            <w:tcW w:w="1386" w:type="dxa"/>
          </w:tcPr>
          <w:p w14:paraId="23AB3E6D" w14:textId="77777777" w:rsidR="005216E6" w:rsidRDefault="005216E6" w:rsidP="00EB2EFB">
            <w:pPr>
              <w:pStyle w:val="TableContents"/>
              <w:keepNext/>
              <w:snapToGrid w:val="0"/>
              <w:jc w:val="center"/>
              <w:rPr>
                <w:sz w:val="18"/>
                <w:szCs w:val="18"/>
              </w:rPr>
            </w:pPr>
            <w:r>
              <w:rPr>
                <w:sz w:val="18"/>
                <w:szCs w:val="18"/>
              </w:rPr>
              <w:t xml:space="preserve">Nonqualified deferred compensation earnings </w:t>
            </w:r>
          </w:p>
          <w:p w14:paraId="23AB3E6E" w14:textId="77777777" w:rsidR="005216E6" w:rsidRDefault="005216E6" w:rsidP="00EB2EFB">
            <w:pPr>
              <w:pStyle w:val="TableContents"/>
              <w:keepNext/>
              <w:snapToGrid w:val="0"/>
              <w:jc w:val="center"/>
              <w:rPr>
                <w:sz w:val="18"/>
                <w:szCs w:val="18"/>
              </w:rPr>
            </w:pPr>
            <w:r>
              <w:rPr>
                <w:sz w:val="18"/>
                <w:szCs w:val="18"/>
              </w:rPr>
              <w:t>($)</w:t>
            </w:r>
          </w:p>
        </w:tc>
        <w:tc>
          <w:tcPr>
            <w:tcW w:w="1314" w:type="dxa"/>
          </w:tcPr>
          <w:p w14:paraId="23AB3E6F" w14:textId="77777777" w:rsidR="005216E6" w:rsidRDefault="005216E6" w:rsidP="00EB2EFB">
            <w:pPr>
              <w:pStyle w:val="TableContents"/>
              <w:keepNext/>
              <w:snapToGrid w:val="0"/>
              <w:jc w:val="center"/>
              <w:rPr>
                <w:sz w:val="18"/>
                <w:szCs w:val="18"/>
              </w:rPr>
            </w:pPr>
          </w:p>
          <w:p w14:paraId="23AB3E70" w14:textId="77777777" w:rsidR="005216E6" w:rsidRDefault="005216E6" w:rsidP="00EB2EFB">
            <w:pPr>
              <w:pStyle w:val="TableContents"/>
              <w:keepNext/>
              <w:snapToGrid w:val="0"/>
              <w:jc w:val="center"/>
              <w:rPr>
                <w:sz w:val="18"/>
                <w:szCs w:val="18"/>
              </w:rPr>
            </w:pPr>
          </w:p>
          <w:p w14:paraId="23AB3E71" w14:textId="77777777" w:rsidR="005216E6" w:rsidRDefault="005216E6" w:rsidP="00EB2EFB">
            <w:pPr>
              <w:pStyle w:val="TableContents"/>
              <w:keepNext/>
              <w:snapToGrid w:val="0"/>
              <w:jc w:val="center"/>
              <w:rPr>
                <w:sz w:val="18"/>
                <w:szCs w:val="18"/>
              </w:rPr>
            </w:pPr>
            <w:r>
              <w:rPr>
                <w:sz w:val="18"/>
                <w:szCs w:val="18"/>
              </w:rPr>
              <w:t>All other compensation ($)</w:t>
            </w:r>
          </w:p>
        </w:tc>
        <w:tc>
          <w:tcPr>
            <w:tcW w:w="810" w:type="dxa"/>
          </w:tcPr>
          <w:p w14:paraId="23AB3E72" w14:textId="77777777" w:rsidR="005216E6" w:rsidRDefault="005216E6" w:rsidP="00EB2EFB">
            <w:pPr>
              <w:pStyle w:val="TableContents"/>
              <w:keepNext/>
              <w:snapToGrid w:val="0"/>
              <w:jc w:val="center"/>
              <w:rPr>
                <w:sz w:val="18"/>
                <w:szCs w:val="18"/>
              </w:rPr>
            </w:pPr>
          </w:p>
          <w:p w14:paraId="23AB3E73" w14:textId="77777777" w:rsidR="005216E6" w:rsidRDefault="005216E6" w:rsidP="00EB2EFB">
            <w:pPr>
              <w:pStyle w:val="TableContents"/>
              <w:keepNext/>
              <w:snapToGrid w:val="0"/>
              <w:jc w:val="center"/>
              <w:rPr>
                <w:sz w:val="18"/>
                <w:szCs w:val="18"/>
              </w:rPr>
            </w:pPr>
          </w:p>
          <w:p w14:paraId="23AB3E74" w14:textId="77777777" w:rsidR="005216E6" w:rsidRDefault="005216E6" w:rsidP="00EB2EFB">
            <w:pPr>
              <w:pStyle w:val="TableContents"/>
              <w:keepNext/>
              <w:snapToGrid w:val="0"/>
              <w:jc w:val="center"/>
              <w:rPr>
                <w:sz w:val="18"/>
                <w:szCs w:val="18"/>
              </w:rPr>
            </w:pPr>
          </w:p>
          <w:p w14:paraId="23AB3E75" w14:textId="77777777" w:rsidR="005216E6" w:rsidRDefault="005216E6" w:rsidP="00EB2EFB">
            <w:pPr>
              <w:pStyle w:val="TableContents"/>
              <w:keepNext/>
              <w:snapToGrid w:val="0"/>
              <w:jc w:val="center"/>
              <w:rPr>
                <w:sz w:val="18"/>
                <w:szCs w:val="18"/>
              </w:rPr>
            </w:pPr>
            <w:r>
              <w:rPr>
                <w:sz w:val="18"/>
                <w:szCs w:val="18"/>
              </w:rPr>
              <w:t>Total</w:t>
            </w:r>
          </w:p>
          <w:p w14:paraId="23AB3E76" w14:textId="77777777" w:rsidR="005216E6" w:rsidRDefault="005216E6" w:rsidP="00EB2EFB">
            <w:pPr>
              <w:pStyle w:val="TableContents"/>
              <w:keepNext/>
              <w:snapToGrid w:val="0"/>
              <w:jc w:val="center"/>
              <w:rPr>
                <w:sz w:val="18"/>
                <w:szCs w:val="18"/>
              </w:rPr>
            </w:pPr>
            <w:r>
              <w:rPr>
                <w:sz w:val="18"/>
                <w:szCs w:val="18"/>
              </w:rPr>
              <w:t>($)</w:t>
            </w:r>
          </w:p>
        </w:tc>
      </w:tr>
      <w:tr w:rsidR="005216E6" w14:paraId="23AB3E80" w14:textId="77777777" w:rsidTr="00342DB7">
        <w:tc>
          <w:tcPr>
            <w:tcW w:w="2250" w:type="dxa"/>
          </w:tcPr>
          <w:p w14:paraId="23AB3E78" w14:textId="77777777" w:rsidR="005216E6" w:rsidRDefault="005216E6" w:rsidP="00EB2EFB">
            <w:pPr>
              <w:pStyle w:val="TableContents"/>
              <w:keepNext/>
              <w:snapToGrid w:val="0"/>
              <w:rPr>
                <w:sz w:val="18"/>
                <w:szCs w:val="18"/>
              </w:rPr>
            </w:pPr>
            <w:r>
              <w:rPr>
                <w:sz w:val="18"/>
                <w:szCs w:val="18"/>
              </w:rPr>
              <w:t>Lawrence F. Maietta</w:t>
            </w:r>
          </w:p>
        </w:tc>
        <w:tc>
          <w:tcPr>
            <w:tcW w:w="990" w:type="dxa"/>
          </w:tcPr>
          <w:p w14:paraId="23AB3E79" w14:textId="77777777" w:rsidR="005216E6" w:rsidRDefault="005216E6" w:rsidP="00EB2EFB">
            <w:pPr>
              <w:pStyle w:val="TableContents"/>
              <w:keepNext/>
              <w:snapToGrid w:val="0"/>
              <w:jc w:val="center"/>
              <w:rPr>
                <w:sz w:val="18"/>
                <w:szCs w:val="18"/>
              </w:rPr>
            </w:pPr>
            <w:r>
              <w:rPr>
                <w:sz w:val="18"/>
                <w:szCs w:val="18"/>
              </w:rPr>
              <w:t>27,000</w:t>
            </w:r>
          </w:p>
        </w:tc>
        <w:tc>
          <w:tcPr>
            <w:tcW w:w="720" w:type="dxa"/>
          </w:tcPr>
          <w:p w14:paraId="23AB3E7A" w14:textId="77777777" w:rsidR="005216E6" w:rsidRDefault="005216E6" w:rsidP="00EB2EFB">
            <w:pPr>
              <w:pStyle w:val="TableContents"/>
              <w:keepNext/>
              <w:snapToGrid w:val="0"/>
              <w:jc w:val="center"/>
              <w:rPr>
                <w:sz w:val="18"/>
                <w:szCs w:val="18"/>
              </w:rPr>
            </w:pPr>
            <w:r>
              <w:rPr>
                <w:sz w:val="18"/>
                <w:szCs w:val="18"/>
              </w:rPr>
              <w:t>-</w:t>
            </w:r>
          </w:p>
        </w:tc>
        <w:tc>
          <w:tcPr>
            <w:tcW w:w="900" w:type="dxa"/>
          </w:tcPr>
          <w:p w14:paraId="23AB3E7B" w14:textId="77777777" w:rsidR="005216E6" w:rsidRDefault="005216E6" w:rsidP="00EB2EFB">
            <w:pPr>
              <w:pStyle w:val="TableContents"/>
              <w:keepNext/>
              <w:snapToGrid w:val="0"/>
              <w:jc w:val="center"/>
              <w:rPr>
                <w:sz w:val="18"/>
                <w:szCs w:val="18"/>
              </w:rPr>
            </w:pPr>
            <w:r>
              <w:rPr>
                <w:sz w:val="18"/>
                <w:szCs w:val="18"/>
              </w:rPr>
              <w:t>-</w:t>
            </w:r>
          </w:p>
        </w:tc>
        <w:tc>
          <w:tcPr>
            <w:tcW w:w="1314" w:type="dxa"/>
          </w:tcPr>
          <w:p w14:paraId="23AB3E7C" w14:textId="77777777" w:rsidR="005216E6" w:rsidRDefault="005216E6" w:rsidP="00EB2EFB">
            <w:pPr>
              <w:pStyle w:val="TableContents"/>
              <w:keepNext/>
              <w:snapToGrid w:val="0"/>
              <w:jc w:val="center"/>
              <w:rPr>
                <w:sz w:val="18"/>
                <w:szCs w:val="18"/>
              </w:rPr>
            </w:pPr>
            <w:r>
              <w:rPr>
                <w:sz w:val="18"/>
                <w:szCs w:val="18"/>
              </w:rPr>
              <w:t>-</w:t>
            </w:r>
          </w:p>
        </w:tc>
        <w:tc>
          <w:tcPr>
            <w:tcW w:w="1386" w:type="dxa"/>
          </w:tcPr>
          <w:p w14:paraId="23AB3E7D" w14:textId="77777777" w:rsidR="005216E6" w:rsidRDefault="005216E6" w:rsidP="00EB2EFB">
            <w:pPr>
              <w:pStyle w:val="TableContents"/>
              <w:keepNext/>
              <w:snapToGrid w:val="0"/>
              <w:jc w:val="center"/>
              <w:rPr>
                <w:sz w:val="18"/>
                <w:szCs w:val="18"/>
              </w:rPr>
            </w:pPr>
            <w:r>
              <w:rPr>
                <w:sz w:val="18"/>
                <w:szCs w:val="18"/>
              </w:rPr>
              <w:t>-</w:t>
            </w:r>
          </w:p>
        </w:tc>
        <w:tc>
          <w:tcPr>
            <w:tcW w:w="1314" w:type="dxa"/>
          </w:tcPr>
          <w:p w14:paraId="23AB3E7E" w14:textId="77777777" w:rsidR="005216E6" w:rsidRDefault="005216E6" w:rsidP="00EB2EFB">
            <w:pPr>
              <w:pStyle w:val="TableContents"/>
              <w:keepNext/>
              <w:snapToGrid w:val="0"/>
              <w:jc w:val="center"/>
              <w:rPr>
                <w:sz w:val="18"/>
                <w:szCs w:val="18"/>
              </w:rPr>
            </w:pPr>
            <w:r>
              <w:rPr>
                <w:sz w:val="18"/>
                <w:szCs w:val="18"/>
              </w:rPr>
              <w:t>17,000 (1)</w:t>
            </w:r>
          </w:p>
        </w:tc>
        <w:tc>
          <w:tcPr>
            <w:tcW w:w="810" w:type="dxa"/>
          </w:tcPr>
          <w:p w14:paraId="23AB3E7F" w14:textId="77777777" w:rsidR="005216E6" w:rsidRDefault="005216E6" w:rsidP="00EB2EFB">
            <w:pPr>
              <w:pStyle w:val="TableContents"/>
              <w:keepNext/>
              <w:snapToGrid w:val="0"/>
              <w:jc w:val="center"/>
              <w:rPr>
                <w:sz w:val="18"/>
                <w:szCs w:val="18"/>
              </w:rPr>
            </w:pPr>
            <w:r>
              <w:rPr>
                <w:sz w:val="18"/>
                <w:szCs w:val="18"/>
              </w:rPr>
              <w:t>44,000</w:t>
            </w:r>
          </w:p>
        </w:tc>
      </w:tr>
      <w:tr w:rsidR="005216E6" w14:paraId="23AB3E89" w14:textId="77777777" w:rsidTr="00342DB7">
        <w:tc>
          <w:tcPr>
            <w:tcW w:w="2250" w:type="dxa"/>
          </w:tcPr>
          <w:p w14:paraId="23AB3E81" w14:textId="77777777" w:rsidR="005216E6" w:rsidRDefault="005216E6" w:rsidP="00EB2EFB">
            <w:pPr>
              <w:pStyle w:val="TableContents"/>
              <w:keepNext/>
              <w:snapToGrid w:val="0"/>
              <w:rPr>
                <w:sz w:val="18"/>
                <w:szCs w:val="18"/>
              </w:rPr>
            </w:pPr>
            <w:r>
              <w:rPr>
                <w:sz w:val="18"/>
                <w:szCs w:val="18"/>
              </w:rPr>
              <w:t>Arthur M. Dresner</w:t>
            </w:r>
          </w:p>
        </w:tc>
        <w:tc>
          <w:tcPr>
            <w:tcW w:w="990" w:type="dxa"/>
          </w:tcPr>
          <w:p w14:paraId="23AB3E82" w14:textId="77777777" w:rsidR="005216E6" w:rsidRDefault="005216E6" w:rsidP="00EB2EFB">
            <w:pPr>
              <w:pStyle w:val="TableContents"/>
              <w:keepNext/>
              <w:snapToGrid w:val="0"/>
              <w:jc w:val="center"/>
              <w:rPr>
                <w:sz w:val="18"/>
                <w:szCs w:val="18"/>
              </w:rPr>
            </w:pPr>
            <w:r>
              <w:rPr>
                <w:sz w:val="18"/>
                <w:szCs w:val="18"/>
              </w:rPr>
              <w:t>31,500</w:t>
            </w:r>
          </w:p>
        </w:tc>
        <w:tc>
          <w:tcPr>
            <w:tcW w:w="720" w:type="dxa"/>
          </w:tcPr>
          <w:p w14:paraId="23AB3E83" w14:textId="77777777" w:rsidR="005216E6" w:rsidRDefault="005216E6" w:rsidP="00EB2EFB">
            <w:pPr>
              <w:pStyle w:val="TableContents"/>
              <w:keepNext/>
              <w:snapToGrid w:val="0"/>
              <w:jc w:val="center"/>
              <w:rPr>
                <w:sz w:val="18"/>
                <w:szCs w:val="18"/>
              </w:rPr>
            </w:pPr>
            <w:r>
              <w:rPr>
                <w:sz w:val="18"/>
                <w:szCs w:val="18"/>
              </w:rPr>
              <w:t>-</w:t>
            </w:r>
          </w:p>
        </w:tc>
        <w:tc>
          <w:tcPr>
            <w:tcW w:w="900" w:type="dxa"/>
          </w:tcPr>
          <w:p w14:paraId="23AB3E84" w14:textId="77777777" w:rsidR="005216E6" w:rsidRDefault="005216E6" w:rsidP="00EB2EFB">
            <w:pPr>
              <w:pStyle w:val="TableContents"/>
              <w:keepNext/>
              <w:snapToGrid w:val="0"/>
              <w:jc w:val="center"/>
              <w:rPr>
                <w:sz w:val="18"/>
                <w:szCs w:val="18"/>
              </w:rPr>
            </w:pPr>
            <w:r>
              <w:rPr>
                <w:sz w:val="18"/>
                <w:szCs w:val="18"/>
              </w:rPr>
              <w:t>-</w:t>
            </w:r>
          </w:p>
        </w:tc>
        <w:tc>
          <w:tcPr>
            <w:tcW w:w="1314" w:type="dxa"/>
          </w:tcPr>
          <w:p w14:paraId="23AB3E85" w14:textId="77777777" w:rsidR="005216E6" w:rsidRDefault="005216E6" w:rsidP="00EB2EFB">
            <w:pPr>
              <w:pStyle w:val="TableContents"/>
              <w:keepNext/>
              <w:snapToGrid w:val="0"/>
              <w:jc w:val="center"/>
              <w:rPr>
                <w:sz w:val="18"/>
                <w:szCs w:val="18"/>
              </w:rPr>
            </w:pPr>
            <w:r>
              <w:rPr>
                <w:sz w:val="18"/>
                <w:szCs w:val="18"/>
              </w:rPr>
              <w:t>-</w:t>
            </w:r>
          </w:p>
        </w:tc>
        <w:tc>
          <w:tcPr>
            <w:tcW w:w="1386" w:type="dxa"/>
          </w:tcPr>
          <w:p w14:paraId="23AB3E86" w14:textId="77777777" w:rsidR="005216E6" w:rsidRDefault="005216E6" w:rsidP="00EB2EFB">
            <w:pPr>
              <w:pStyle w:val="TableContents"/>
              <w:keepNext/>
              <w:snapToGrid w:val="0"/>
              <w:jc w:val="center"/>
              <w:rPr>
                <w:sz w:val="18"/>
                <w:szCs w:val="18"/>
              </w:rPr>
            </w:pPr>
            <w:r>
              <w:rPr>
                <w:sz w:val="18"/>
                <w:szCs w:val="18"/>
              </w:rPr>
              <w:t>-</w:t>
            </w:r>
          </w:p>
        </w:tc>
        <w:tc>
          <w:tcPr>
            <w:tcW w:w="1314" w:type="dxa"/>
          </w:tcPr>
          <w:p w14:paraId="23AB3E87" w14:textId="77777777" w:rsidR="005216E6" w:rsidRDefault="005216E6" w:rsidP="00EB2EFB">
            <w:pPr>
              <w:pStyle w:val="TableContents"/>
              <w:keepNext/>
              <w:snapToGrid w:val="0"/>
              <w:jc w:val="center"/>
              <w:rPr>
                <w:sz w:val="18"/>
                <w:szCs w:val="18"/>
              </w:rPr>
            </w:pPr>
            <w:r>
              <w:rPr>
                <w:sz w:val="18"/>
                <w:szCs w:val="18"/>
              </w:rPr>
              <w:t>-</w:t>
            </w:r>
          </w:p>
        </w:tc>
        <w:tc>
          <w:tcPr>
            <w:tcW w:w="810" w:type="dxa"/>
          </w:tcPr>
          <w:p w14:paraId="23AB3E88" w14:textId="77777777" w:rsidR="005216E6" w:rsidRDefault="005216E6" w:rsidP="00EB2EFB">
            <w:pPr>
              <w:pStyle w:val="TableContents"/>
              <w:keepNext/>
              <w:snapToGrid w:val="0"/>
              <w:jc w:val="center"/>
              <w:rPr>
                <w:sz w:val="18"/>
                <w:szCs w:val="18"/>
              </w:rPr>
            </w:pPr>
            <w:r>
              <w:rPr>
                <w:sz w:val="18"/>
                <w:szCs w:val="18"/>
              </w:rPr>
              <w:t>31,500</w:t>
            </w:r>
          </w:p>
        </w:tc>
      </w:tr>
      <w:tr w:rsidR="005216E6" w14:paraId="23AB3E92" w14:textId="77777777" w:rsidTr="00342DB7">
        <w:tc>
          <w:tcPr>
            <w:tcW w:w="2250" w:type="dxa"/>
          </w:tcPr>
          <w:p w14:paraId="23AB3E8A" w14:textId="77777777" w:rsidR="005216E6" w:rsidRDefault="005216E6" w:rsidP="00EB2EFB">
            <w:pPr>
              <w:pStyle w:val="TableContents"/>
              <w:keepNext/>
              <w:snapToGrid w:val="0"/>
              <w:rPr>
                <w:sz w:val="18"/>
                <w:szCs w:val="18"/>
              </w:rPr>
            </w:pPr>
            <w:r>
              <w:rPr>
                <w:sz w:val="18"/>
                <w:szCs w:val="18"/>
              </w:rPr>
              <w:t>Andrew A. Boccone</w:t>
            </w:r>
          </w:p>
        </w:tc>
        <w:tc>
          <w:tcPr>
            <w:tcW w:w="990" w:type="dxa"/>
          </w:tcPr>
          <w:p w14:paraId="23AB3E8B" w14:textId="77777777" w:rsidR="005216E6" w:rsidRDefault="005216E6" w:rsidP="00EB2EFB">
            <w:pPr>
              <w:pStyle w:val="TableContents"/>
              <w:keepNext/>
              <w:snapToGrid w:val="0"/>
              <w:jc w:val="center"/>
              <w:rPr>
                <w:sz w:val="18"/>
                <w:szCs w:val="18"/>
              </w:rPr>
            </w:pPr>
            <w:r>
              <w:rPr>
                <w:sz w:val="18"/>
                <w:szCs w:val="18"/>
              </w:rPr>
              <w:t>28,000</w:t>
            </w:r>
          </w:p>
        </w:tc>
        <w:tc>
          <w:tcPr>
            <w:tcW w:w="720" w:type="dxa"/>
          </w:tcPr>
          <w:p w14:paraId="23AB3E8C" w14:textId="77777777" w:rsidR="005216E6" w:rsidRDefault="005216E6" w:rsidP="00EB2EFB">
            <w:pPr>
              <w:pStyle w:val="TableContents"/>
              <w:keepNext/>
              <w:snapToGrid w:val="0"/>
              <w:jc w:val="center"/>
              <w:rPr>
                <w:sz w:val="18"/>
                <w:szCs w:val="18"/>
              </w:rPr>
            </w:pPr>
            <w:r>
              <w:rPr>
                <w:sz w:val="18"/>
                <w:szCs w:val="18"/>
              </w:rPr>
              <w:t>-</w:t>
            </w:r>
          </w:p>
        </w:tc>
        <w:tc>
          <w:tcPr>
            <w:tcW w:w="900" w:type="dxa"/>
          </w:tcPr>
          <w:p w14:paraId="23AB3E8D" w14:textId="77777777" w:rsidR="005216E6" w:rsidRDefault="005216E6" w:rsidP="00EB2EFB">
            <w:pPr>
              <w:pStyle w:val="TableContents"/>
              <w:keepNext/>
              <w:snapToGrid w:val="0"/>
              <w:jc w:val="center"/>
              <w:rPr>
                <w:sz w:val="18"/>
                <w:szCs w:val="18"/>
              </w:rPr>
            </w:pPr>
            <w:r>
              <w:rPr>
                <w:sz w:val="18"/>
                <w:szCs w:val="18"/>
              </w:rPr>
              <w:t>-</w:t>
            </w:r>
          </w:p>
        </w:tc>
        <w:tc>
          <w:tcPr>
            <w:tcW w:w="1314" w:type="dxa"/>
          </w:tcPr>
          <w:p w14:paraId="23AB3E8E" w14:textId="77777777" w:rsidR="005216E6" w:rsidRDefault="005216E6" w:rsidP="00EB2EFB">
            <w:pPr>
              <w:pStyle w:val="TableContents"/>
              <w:keepNext/>
              <w:snapToGrid w:val="0"/>
              <w:jc w:val="center"/>
              <w:rPr>
                <w:sz w:val="18"/>
                <w:szCs w:val="18"/>
              </w:rPr>
            </w:pPr>
            <w:r>
              <w:rPr>
                <w:sz w:val="18"/>
                <w:szCs w:val="18"/>
              </w:rPr>
              <w:t>-</w:t>
            </w:r>
          </w:p>
        </w:tc>
        <w:tc>
          <w:tcPr>
            <w:tcW w:w="1386" w:type="dxa"/>
          </w:tcPr>
          <w:p w14:paraId="23AB3E8F" w14:textId="77777777" w:rsidR="005216E6" w:rsidRDefault="005216E6" w:rsidP="00EB2EFB">
            <w:pPr>
              <w:pStyle w:val="TableContents"/>
              <w:keepNext/>
              <w:snapToGrid w:val="0"/>
              <w:jc w:val="center"/>
              <w:rPr>
                <w:sz w:val="18"/>
                <w:szCs w:val="18"/>
              </w:rPr>
            </w:pPr>
            <w:r>
              <w:rPr>
                <w:sz w:val="18"/>
                <w:szCs w:val="18"/>
              </w:rPr>
              <w:t>-</w:t>
            </w:r>
          </w:p>
        </w:tc>
        <w:tc>
          <w:tcPr>
            <w:tcW w:w="1314" w:type="dxa"/>
          </w:tcPr>
          <w:p w14:paraId="23AB3E90" w14:textId="77777777" w:rsidR="005216E6" w:rsidRDefault="005216E6" w:rsidP="00EB2EFB">
            <w:pPr>
              <w:pStyle w:val="TableContents"/>
              <w:keepNext/>
              <w:snapToGrid w:val="0"/>
              <w:jc w:val="center"/>
              <w:rPr>
                <w:sz w:val="18"/>
                <w:szCs w:val="18"/>
              </w:rPr>
            </w:pPr>
            <w:r>
              <w:rPr>
                <w:sz w:val="18"/>
                <w:szCs w:val="18"/>
              </w:rPr>
              <w:t>-</w:t>
            </w:r>
          </w:p>
        </w:tc>
        <w:tc>
          <w:tcPr>
            <w:tcW w:w="810" w:type="dxa"/>
          </w:tcPr>
          <w:p w14:paraId="23AB3E91" w14:textId="77777777" w:rsidR="005216E6" w:rsidRDefault="005216E6" w:rsidP="00EB2EFB">
            <w:pPr>
              <w:pStyle w:val="TableContents"/>
              <w:keepNext/>
              <w:snapToGrid w:val="0"/>
              <w:jc w:val="center"/>
              <w:rPr>
                <w:sz w:val="18"/>
                <w:szCs w:val="18"/>
              </w:rPr>
            </w:pPr>
            <w:r>
              <w:rPr>
                <w:sz w:val="18"/>
                <w:szCs w:val="18"/>
              </w:rPr>
              <w:t>28,000</w:t>
            </w:r>
          </w:p>
        </w:tc>
      </w:tr>
      <w:tr w:rsidR="005216E6" w14:paraId="23AB3E9B" w14:textId="77777777" w:rsidTr="00342DB7">
        <w:tc>
          <w:tcPr>
            <w:tcW w:w="2250" w:type="dxa"/>
          </w:tcPr>
          <w:p w14:paraId="23AB3E93" w14:textId="77777777" w:rsidR="005216E6" w:rsidRDefault="005216E6" w:rsidP="00EB2EFB">
            <w:pPr>
              <w:pStyle w:val="TableContents"/>
              <w:keepNext/>
              <w:snapToGrid w:val="0"/>
              <w:rPr>
                <w:sz w:val="18"/>
                <w:szCs w:val="18"/>
              </w:rPr>
            </w:pPr>
            <w:r>
              <w:rPr>
                <w:sz w:val="18"/>
                <w:szCs w:val="18"/>
              </w:rPr>
              <w:t>Christopher W. Nolan, Sr.</w:t>
            </w:r>
          </w:p>
        </w:tc>
        <w:tc>
          <w:tcPr>
            <w:tcW w:w="990" w:type="dxa"/>
          </w:tcPr>
          <w:p w14:paraId="23AB3E94" w14:textId="77777777" w:rsidR="005216E6" w:rsidRDefault="005216E6" w:rsidP="00EB2EFB">
            <w:pPr>
              <w:pStyle w:val="TableContents"/>
              <w:keepNext/>
              <w:snapToGrid w:val="0"/>
              <w:jc w:val="center"/>
              <w:rPr>
                <w:sz w:val="18"/>
                <w:szCs w:val="18"/>
              </w:rPr>
            </w:pPr>
            <w:r>
              <w:rPr>
                <w:sz w:val="18"/>
                <w:szCs w:val="18"/>
              </w:rPr>
              <w:t>26,000</w:t>
            </w:r>
          </w:p>
        </w:tc>
        <w:tc>
          <w:tcPr>
            <w:tcW w:w="720" w:type="dxa"/>
          </w:tcPr>
          <w:p w14:paraId="23AB3E95" w14:textId="77777777" w:rsidR="005216E6" w:rsidRDefault="005216E6" w:rsidP="00EB2EFB">
            <w:pPr>
              <w:pStyle w:val="TableContents"/>
              <w:keepNext/>
              <w:snapToGrid w:val="0"/>
              <w:jc w:val="center"/>
              <w:rPr>
                <w:sz w:val="18"/>
                <w:szCs w:val="18"/>
              </w:rPr>
            </w:pPr>
            <w:r>
              <w:rPr>
                <w:sz w:val="18"/>
                <w:szCs w:val="18"/>
              </w:rPr>
              <w:t>-</w:t>
            </w:r>
          </w:p>
        </w:tc>
        <w:tc>
          <w:tcPr>
            <w:tcW w:w="900" w:type="dxa"/>
          </w:tcPr>
          <w:p w14:paraId="23AB3E96" w14:textId="77777777" w:rsidR="005216E6" w:rsidRDefault="005216E6" w:rsidP="00EB2EFB">
            <w:pPr>
              <w:pStyle w:val="TableContents"/>
              <w:keepNext/>
              <w:snapToGrid w:val="0"/>
              <w:jc w:val="center"/>
              <w:rPr>
                <w:sz w:val="18"/>
                <w:szCs w:val="18"/>
              </w:rPr>
            </w:pPr>
            <w:r>
              <w:rPr>
                <w:sz w:val="18"/>
                <w:szCs w:val="18"/>
              </w:rPr>
              <w:t>-</w:t>
            </w:r>
          </w:p>
        </w:tc>
        <w:tc>
          <w:tcPr>
            <w:tcW w:w="1314" w:type="dxa"/>
          </w:tcPr>
          <w:p w14:paraId="23AB3E97" w14:textId="77777777" w:rsidR="005216E6" w:rsidRDefault="005216E6" w:rsidP="00EB2EFB">
            <w:pPr>
              <w:pStyle w:val="TableContents"/>
              <w:keepNext/>
              <w:snapToGrid w:val="0"/>
              <w:jc w:val="center"/>
              <w:rPr>
                <w:sz w:val="18"/>
                <w:szCs w:val="18"/>
              </w:rPr>
            </w:pPr>
            <w:r>
              <w:rPr>
                <w:sz w:val="18"/>
                <w:szCs w:val="18"/>
              </w:rPr>
              <w:t>-</w:t>
            </w:r>
          </w:p>
        </w:tc>
        <w:tc>
          <w:tcPr>
            <w:tcW w:w="1386" w:type="dxa"/>
          </w:tcPr>
          <w:p w14:paraId="23AB3E98" w14:textId="77777777" w:rsidR="005216E6" w:rsidRDefault="005216E6" w:rsidP="00EB2EFB">
            <w:pPr>
              <w:pStyle w:val="TableContents"/>
              <w:keepNext/>
              <w:snapToGrid w:val="0"/>
              <w:jc w:val="center"/>
              <w:rPr>
                <w:sz w:val="18"/>
                <w:szCs w:val="18"/>
              </w:rPr>
            </w:pPr>
            <w:r>
              <w:rPr>
                <w:sz w:val="18"/>
                <w:szCs w:val="18"/>
              </w:rPr>
              <w:t>-</w:t>
            </w:r>
          </w:p>
        </w:tc>
        <w:tc>
          <w:tcPr>
            <w:tcW w:w="1314" w:type="dxa"/>
          </w:tcPr>
          <w:p w14:paraId="23AB3E99" w14:textId="77777777" w:rsidR="005216E6" w:rsidRDefault="005216E6" w:rsidP="00EB2EFB">
            <w:pPr>
              <w:pStyle w:val="TableContents"/>
              <w:keepNext/>
              <w:snapToGrid w:val="0"/>
              <w:jc w:val="center"/>
              <w:rPr>
                <w:sz w:val="18"/>
                <w:szCs w:val="18"/>
              </w:rPr>
            </w:pPr>
            <w:r>
              <w:rPr>
                <w:sz w:val="18"/>
                <w:szCs w:val="18"/>
              </w:rPr>
              <w:t>-</w:t>
            </w:r>
          </w:p>
        </w:tc>
        <w:tc>
          <w:tcPr>
            <w:tcW w:w="810" w:type="dxa"/>
          </w:tcPr>
          <w:p w14:paraId="23AB3E9A" w14:textId="77777777" w:rsidR="005216E6" w:rsidRDefault="005216E6" w:rsidP="00EB2EFB">
            <w:pPr>
              <w:pStyle w:val="TableContents"/>
              <w:keepNext/>
              <w:snapToGrid w:val="0"/>
              <w:jc w:val="center"/>
              <w:rPr>
                <w:sz w:val="18"/>
                <w:szCs w:val="18"/>
              </w:rPr>
            </w:pPr>
            <w:r>
              <w:rPr>
                <w:sz w:val="18"/>
                <w:szCs w:val="18"/>
              </w:rPr>
              <w:t>26,000</w:t>
            </w:r>
          </w:p>
        </w:tc>
      </w:tr>
    </w:tbl>
    <w:p w14:paraId="23AB3E9C" w14:textId="77777777" w:rsidR="005216E6" w:rsidRDefault="005216E6" w:rsidP="00342DB7">
      <w:pPr>
        <w:spacing w:line="220" w:lineRule="exact"/>
        <w:jc w:val="both"/>
        <w:rPr>
          <w:rFonts w:cs="Arial"/>
          <w:sz w:val="20"/>
        </w:rPr>
      </w:pPr>
    </w:p>
    <w:p w14:paraId="23AB3E9D" w14:textId="77777777" w:rsidR="005216E6" w:rsidRPr="004F64EE" w:rsidRDefault="005216E6" w:rsidP="006828BF">
      <w:pPr>
        <w:spacing w:line="220" w:lineRule="exact"/>
        <w:jc w:val="both"/>
        <w:rPr>
          <w:rFonts w:cs="Arial"/>
          <w:sz w:val="18"/>
          <w:szCs w:val="18"/>
        </w:rPr>
      </w:pPr>
      <w:r w:rsidRPr="004F64EE">
        <w:rPr>
          <w:rFonts w:cs="Arial"/>
          <w:sz w:val="18"/>
          <w:szCs w:val="18"/>
        </w:rPr>
        <w:t xml:space="preserve">     (1)  Consulting fee paid to Bonamassa, Maietta &amp; Cartelli, LLP, a firm in which Mr. Maietta is a partner, for reviewing quarterly and annual financial statements and corporate tax returns.</w:t>
      </w:r>
    </w:p>
    <w:p w14:paraId="23AB3E9E" w14:textId="77777777" w:rsidR="005216E6" w:rsidRDefault="005216E6" w:rsidP="00EB2EFB">
      <w:pPr>
        <w:spacing w:line="220" w:lineRule="exact"/>
        <w:jc w:val="both"/>
        <w:rPr>
          <w:b/>
        </w:rPr>
      </w:pPr>
    </w:p>
    <w:p w14:paraId="23AB3E9F" w14:textId="77777777" w:rsidR="005216E6" w:rsidRDefault="005216E6" w:rsidP="00EB2EFB">
      <w:pPr>
        <w:spacing w:line="220" w:lineRule="exact"/>
        <w:jc w:val="both"/>
        <w:rPr>
          <w:b/>
        </w:rPr>
      </w:pPr>
    </w:p>
    <w:p w14:paraId="23AB3EA0" w14:textId="77777777" w:rsidR="005216E6" w:rsidRDefault="005216E6" w:rsidP="00EB2EFB">
      <w:pPr>
        <w:jc w:val="center"/>
        <w:rPr>
          <w:rFonts w:cs="Arial"/>
          <w:b/>
          <w:szCs w:val="24"/>
        </w:rPr>
      </w:pPr>
      <w:r>
        <w:rPr>
          <w:rFonts w:cs="Arial"/>
          <w:b/>
          <w:szCs w:val="24"/>
        </w:rPr>
        <w:t>APPOINTMENT OF ACCOUNTANTS</w:t>
      </w:r>
    </w:p>
    <w:p w14:paraId="23AB3EA1" w14:textId="77777777" w:rsidR="005216E6" w:rsidRDefault="005216E6" w:rsidP="00EB2EFB">
      <w:pPr>
        <w:keepNext/>
        <w:jc w:val="both"/>
        <w:rPr>
          <w:rFonts w:cs="Arial"/>
          <w:sz w:val="22"/>
          <w:szCs w:val="22"/>
        </w:rPr>
      </w:pPr>
    </w:p>
    <w:p w14:paraId="23AB3EA2" w14:textId="77777777" w:rsidR="005216E6" w:rsidRPr="004F64EE" w:rsidRDefault="005216E6" w:rsidP="00EB2EFB">
      <w:pPr>
        <w:jc w:val="both"/>
        <w:rPr>
          <w:rFonts w:cs="Arial"/>
          <w:sz w:val="21"/>
          <w:szCs w:val="21"/>
        </w:rPr>
      </w:pPr>
      <w:r w:rsidRPr="004F64EE">
        <w:rPr>
          <w:rFonts w:cs="Arial"/>
          <w:sz w:val="21"/>
          <w:szCs w:val="21"/>
        </w:rPr>
        <w:t xml:space="preserve">     </w:t>
      </w:r>
      <w:r w:rsidRPr="004F64EE">
        <w:rPr>
          <w:rFonts w:cs="Arial"/>
          <w:sz w:val="21"/>
          <w:szCs w:val="21"/>
        </w:rPr>
        <w:tab/>
        <w:t xml:space="preserve">The firm of Baker Tilly Virchow Krause, LLP (“Baker”), independent registered public accounting firm of Melville, N.Y., has been appointed by the Audit Committee of the </w:t>
      </w:r>
      <w:r w:rsidR="006F31D2" w:rsidRPr="004F64EE">
        <w:rPr>
          <w:rFonts w:cs="Arial"/>
          <w:sz w:val="21"/>
          <w:szCs w:val="21"/>
        </w:rPr>
        <w:t>Board</w:t>
      </w:r>
      <w:r w:rsidRPr="004F64EE">
        <w:rPr>
          <w:rFonts w:cs="Arial"/>
          <w:sz w:val="21"/>
          <w:szCs w:val="21"/>
        </w:rPr>
        <w:t xml:space="preserve"> to be the independent accountants of the Company for the fiscal year ending December 31, 2015. The appointment of such firm is subject to ratification by the stockholders at the Annual Meeting. Management believes that the firm is well qualified and recommends a vote in favor of the ratification.</w:t>
      </w:r>
    </w:p>
    <w:p w14:paraId="23AB3EA3" w14:textId="77777777" w:rsidR="005216E6" w:rsidRDefault="005216E6" w:rsidP="00EB2EFB">
      <w:pPr>
        <w:jc w:val="both"/>
        <w:rPr>
          <w:rFonts w:cs="Arial"/>
          <w:sz w:val="22"/>
          <w:szCs w:val="22"/>
        </w:rPr>
      </w:pPr>
    </w:p>
    <w:p w14:paraId="23AB3EA4" w14:textId="77777777" w:rsidR="005216E6" w:rsidRPr="004F64EE" w:rsidRDefault="005216E6" w:rsidP="00EB2EFB">
      <w:pPr>
        <w:jc w:val="both"/>
        <w:rPr>
          <w:rFonts w:cs="Arial"/>
          <w:sz w:val="21"/>
          <w:szCs w:val="21"/>
        </w:rPr>
      </w:pPr>
      <w:r w:rsidRPr="004F64EE">
        <w:rPr>
          <w:rFonts w:cs="Arial"/>
          <w:sz w:val="21"/>
          <w:szCs w:val="21"/>
        </w:rPr>
        <w:t xml:space="preserve">    </w:t>
      </w:r>
      <w:r w:rsidRPr="004F64EE">
        <w:rPr>
          <w:rFonts w:cs="Arial"/>
          <w:sz w:val="21"/>
          <w:szCs w:val="21"/>
        </w:rPr>
        <w:tab/>
        <w:t xml:space="preserve"> Representatives of Baker are expected to be present at the Annual Meeting and will have an opportunity to make a statement, if they desire to do so, and will be available to respond to appropriate questions. </w:t>
      </w:r>
    </w:p>
    <w:p w14:paraId="23AB3EA5" w14:textId="77777777" w:rsidR="005216E6" w:rsidRDefault="005216E6" w:rsidP="00EB2EFB">
      <w:pPr>
        <w:jc w:val="both"/>
        <w:rPr>
          <w:rFonts w:cs="Arial"/>
          <w:sz w:val="22"/>
          <w:szCs w:val="22"/>
        </w:rPr>
      </w:pPr>
    </w:p>
    <w:p w14:paraId="23AB3EA6" w14:textId="77777777" w:rsidR="005216E6" w:rsidRPr="004F64EE" w:rsidRDefault="005216E6" w:rsidP="00EB2EFB">
      <w:pPr>
        <w:jc w:val="both"/>
        <w:rPr>
          <w:rFonts w:cs="Arial"/>
          <w:b/>
          <w:sz w:val="21"/>
          <w:szCs w:val="21"/>
        </w:rPr>
      </w:pPr>
      <w:r w:rsidRPr="004F64EE">
        <w:rPr>
          <w:rFonts w:cs="Arial"/>
          <w:b/>
          <w:sz w:val="21"/>
          <w:szCs w:val="21"/>
        </w:rPr>
        <w:tab/>
        <w:t xml:space="preserve">The </w:t>
      </w:r>
      <w:r w:rsidR="006F31D2" w:rsidRPr="004F64EE">
        <w:rPr>
          <w:rFonts w:cs="Arial"/>
          <w:b/>
          <w:sz w:val="21"/>
          <w:szCs w:val="21"/>
        </w:rPr>
        <w:t>Board</w:t>
      </w:r>
      <w:r w:rsidRPr="004F64EE">
        <w:rPr>
          <w:rFonts w:cs="Arial"/>
          <w:b/>
          <w:sz w:val="21"/>
          <w:szCs w:val="21"/>
        </w:rPr>
        <w:t xml:space="preserve"> recommends that you vote "FOR" the ratification of the appointment of Baker to serve as the Company’s independent accountants for the fiscal year ending December 31, 2015.</w:t>
      </w:r>
    </w:p>
    <w:p w14:paraId="23AB3EA7" w14:textId="77777777" w:rsidR="005216E6" w:rsidRDefault="005216E6" w:rsidP="00EB2EFB">
      <w:pPr>
        <w:jc w:val="both"/>
        <w:rPr>
          <w:rFonts w:cs="Arial"/>
          <w:sz w:val="22"/>
          <w:szCs w:val="22"/>
        </w:rPr>
      </w:pPr>
    </w:p>
    <w:p w14:paraId="23AB3EA8" w14:textId="77777777" w:rsidR="005216E6" w:rsidRDefault="005216E6" w:rsidP="00EB2EFB">
      <w:pPr>
        <w:jc w:val="both"/>
        <w:rPr>
          <w:rFonts w:cs="Arial"/>
          <w:b/>
          <w:sz w:val="22"/>
          <w:szCs w:val="22"/>
        </w:rPr>
      </w:pPr>
      <w:r>
        <w:rPr>
          <w:rFonts w:cs="Arial"/>
          <w:sz w:val="22"/>
          <w:szCs w:val="22"/>
        </w:rPr>
        <w:t xml:space="preserve">   </w:t>
      </w:r>
    </w:p>
    <w:p w14:paraId="23AB3EA9" w14:textId="77777777" w:rsidR="005216E6" w:rsidRPr="000704C7" w:rsidRDefault="005216E6" w:rsidP="00C7022C">
      <w:pPr>
        <w:jc w:val="center"/>
        <w:rPr>
          <w:rFonts w:cs="Arial"/>
          <w:szCs w:val="24"/>
        </w:rPr>
      </w:pPr>
      <w:r>
        <w:rPr>
          <w:rFonts w:cs="Arial"/>
          <w:b/>
          <w:szCs w:val="24"/>
        </w:rPr>
        <w:t>PRINCIPAL ACCOUNTANT FEES AND SERVICES</w:t>
      </w:r>
    </w:p>
    <w:p w14:paraId="23AB3EAA" w14:textId="77777777" w:rsidR="005216E6" w:rsidRDefault="005216E6" w:rsidP="00EB2EFB">
      <w:pPr>
        <w:suppressAutoHyphens w:val="0"/>
        <w:jc w:val="both"/>
        <w:rPr>
          <w:rFonts w:cs="Arial"/>
          <w:b/>
          <w:sz w:val="22"/>
          <w:szCs w:val="22"/>
          <w:u w:val="single"/>
        </w:rPr>
      </w:pPr>
    </w:p>
    <w:p w14:paraId="23AB3EAB" w14:textId="77777777" w:rsidR="00922562" w:rsidRDefault="005216E6" w:rsidP="002E163A">
      <w:pPr>
        <w:suppressAutoHyphens w:val="0"/>
        <w:jc w:val="both"/>
        <w:rPr>
          <w:rFonts w:cs="Arial"/>
          <w:sz w:val="21"/>
          <w:szCs w:val="21"/>
          <w:lang w:eastAsia="en-US"/>
        </w:rPr>
      </w:pPr>
      <w:r w:rsidRPr="004F64EE">
        <w:rPr>
          <w:rFonts w:cs="Arial"/>
          <w:sz w:val="21"/>
          <w:szCs w:val="21"/>
        </w:rPr>
        <w:tab/>
        <w:t xml:space="preserve">Baker (formerly, Holtz Rubenstein Reminick LLP) has been the Company's independent accountant since July 10, 2009, and has audited </w:t>
      </w:r>
      <w:r w:rsidRPr="004F64EE">
        <w:rPr>
          <w:rFonts w:cs="Arial"/>
          <w:sz w:val="21"/>
          <w:szCs w:val="21"/>
          <w:lang w:eastAsia="en-US"/>
        </w:rPr>
        <w:t xml:space="preserve">the Company’s financial statements for </w:t>
      </w:r>
      <w:r w:rsidR="00922562">
        <w:rPr>
          <w:rFonts w:cs="Arial"/>
          <w:sz w:val="21"/>
          <w:szCs w:val="21"/>
          <w:lang w:eastAsia="en-US"/>
        </w:rPr>
        <w:t xml:space="preserve">each of the last six </w:t>
      </w:r>
      <w:r w:rsidRPr="004F64EE">
        <w:rPr>
          <w:rFonts w:cs="Arial"/>
          <w:sz w:val="21"/>
          <w:szCs w:val="21"/>
          <w:lang w:eastAsia="en-US"/>
        </w:rPr>
        <w:t>fiscal years</w:t>
      </w:r>
      <w:r w:rsidR="00922562">
        <w:rPr>
          <w:rFonts w:cs="Arial"/>
          <w:sz w:val="21"/>
          <w:szCs w:val="21"/>
          <w:lang w:eastAsia="en-US"/>
        </w:rPr>
        <w:t>.</w:t>
      </w:r>
    </w:p>
    <w:p w14:paraId="23AB3EAC" w14:textId="77777777" w:rsidR="005216E6" w:rsidRPr="00940D3A" w:rsidRDefault="005216E6" w:rsidP="00EB2EFB">
      <w:pPr>
        <w:suppressAutoHyphens w:val="0"/>
        <w:rPr>
          <w:rFonts w:cs="Arial"/>
          <w:sz w:val="22"/>
          <w:szCs w:val="22"/>
          <w:lang w:eastAsia="en-US"/>
        </w:rPr>
      </w:pPr>
    </w:p>
    <w:p w14:paraId="23AB3EAD" w14:textId="77777777" w:rsidR="005216E6" w:rsidRDefault="005216E6" w:rsidP="00EB2EFB">
      <w:pPr>
        <w:keepNext/>
        <w:jc w:val="both"/>
        <w:rPr>
          <w:rFonts w:cs="Arial"/>
          <w:b/>
          <w:bCs/>
          <w:sz w:val="22"/>
          <w:szCs w:val="22"/>
        </w:rPr>
      </w:pPr>
      <w:r>
        <w:rPr>
          <w:rFonts w:cs="Arial"/>
          <w:b/>
          <w:bCs/>
          <w:sz w:val="22"/>
          <w:szCs w:val="22"/>
        </w:rPr>
        <w:t>Audit Fees</w:t>
      </w:r>
    </w:p>
    <w:p w14:paraId="23AB3EAE" w14:textId="77777777" w:rsidR="005216E6" w:rsidRDefault="005216E6" w:rsidP="00994734">
      <w:pPr>
        <w:keepNext/>
        <w:jc w:val="both"/>
        <w:rPr>
          <w:rFonts w:cs="Arial"/>
          <w:sz w:val="22"/>
          <w:szCs w:val="22"/>
          <w:lang w:eastAsia="en-US"/>
        </w:rPr>
      </w:pPr>
    </w:p>
    <w:p w14:paraId="23AB3EAF" w14:textId="77777777" w:rsidR="005216E6" w:rsidRPr="004F64EE" w:rsidRDefault="005216E6" w:rsidP="00994734">
      <w:pPr>
        <w:keepNext/>
        <w:jc w:val="both"/>
        <w:rPr>
          <w:rFonts w:cs="Arial"/>
          <w:sz w:val="21"/>
          <w:szCs w:val="21"/>
          <w:lang w:eastAsia="en-US"/>
        </w:rPr>
      </w:pPr>
      <w:r w:rsidRPr="004F64EE">
        <w:rPr>
          <w:rFonts w:cs="Arial"/>
          <w:sz w:val="21"/>
          <w:szCs w:val="21"/>
          <w:lang w:eastAsia="en-US"/>
        </w:rPr>
        <w:t xml:space="preserve">     </w:t>
      </w:r>
      <w:r w:rsidRPr="004F64EE">
        <w:rPr>
          <w:rFonts w:cs="Arial"/>
          <w:sz w:val="21"/>
          <w:szCs w:val="21"/>
          <w:lang w:eastAsia="en-US"/>
        </w:rPr>
        <w:tab/>
        <w:t>The aggregate fees that have been, or are expected to be, billed by Baker, the Company’s principal accountants, to the Company for the review and audit of the Company's financial statements for FY-2014 and FY-2013, were approximately $83,000</w:t>
      </w:r>
      <w:r w:rsidRPr="004F64EE">
        <w:rPr>
          <w:rFonts w:cs="Arial"/>
          <w:sz w:val="21"/>
          <w:szCs w:val="21"/>
        </w:rPr>
        <w:t xml:space="preserve"> for each of those fiscal years ($7,000 for each of the first three fiscal quarters, $61,000 for the year-end audit for both FY-2014 and FY-2013), </w:t>
      </w:r>
      <w:r w:rsidRPr="004F64EE">
        <w:rPr>
          <w:rFonts w:cs="Arial"/>
          <w:sz w:val="21"/>
          <w:szCs w:val="21"/>
          <w:lang w:eastAsia="en-US"/>
        </w:rPr>
        <w:t>and $1,000 for out-of-pocket expenses in each fiscal year.</w:t>
      </w:r>
    </w:p>
    <w:p w14:paraId="23AB3EB0" w14:textId="77777777" w:rsidR="005216E6" w:rsidRDefault="005216E6" w:rsidP="00EB2EFB">
      <w:pPr>
        <w:jc w:val="both"/>
        <w:rPr>
          <w:rFonts w:cs="Arial"/>
          <w:b/>
          <w:bCs/>
          <w:sz w:val="22"/>
          <w:szCs w:val="22"/>
        </w:rPr>
      </w:pPr>
    </w:p>
    <w:p w14:paraId="23AB3EB1" w14:textId="77777777" w:rsidR="005216E6" w:rsidRDefault="005216E6" w:rsidP="00EB2EFB">
      <w:pPr>
        <w:keepNext/>
        <w:jc w:val="both"/>
        <w:rPr>
          <w:rFonts w:cs="Arial"/>
          <w:b/>
          <w:bCs/>
          <w:sz w:val="22"/>
          <w:szCs w:val="22"/>
        </w:rPr>
      </w:pPr>
    </w:p>
    <w:p w14:paraId="23AB3EB2" w14:textId="77777777" w:rsidR="005216E6" w:rsidRDefault="005216E6" w:rsidP="00EB2EFB">
      <w:pPr>
        <w:keepNext/>
        <w:jc w:val="both"/>
        <w:rPr>
          <w:rFonts w:cs="Arial"/>
          <w:b/>
          <w:bCs/>
          <w:sz w:val="22"/>
          <w:szCs w:val="22"/>
        </w:rPr>
      </w:pPr>
      <w:r>
        <w:rPr>
          <w:rFonts w:cs="Arial"/>
          <w:b/>
          <w:bCs/>
          <w:sz w:val="22"/>
          <w:szCs w:val="22"/>
        </w:rPr>
        <w:t>Audit-Related Fees</w:t>
      </w:r>
    </w:p>
    <w:p w14:paraId="23AB3EB3" w14:textId="77777777" w:rsidR="005216E6" w:rsidRDefault="005216E6" w:rsidP="00EB2EFB">
      <w:pPr>
        <w:suppressAutoHyphens w:val="0"/>
        <w:jc w:val="both"/>
        <w:rPr>
          <w:rFonts w:cs="Arial"/>
          <w:sz w:val="22"/>
          <w:szCs w:val="22"/>
          <w:lang w:eastAsia="en-US"/>
        </w:rPr>
      </w:pPr>
    </w:p>
    <w:p w14:paraId="23AB3EB4" w14:textId="77777777" w:rsidR="00620703" w:rsidRDefault="005216E6" w:rsidP="004F64EE">
      <w:pPr>
        <w:keepNext/>
        <w:jc w:val="both"/>
        <w:rPr>
          <w:rFonts w:cs="Arial"/>
          <w:sz w:val="21"/>
          <w:szCs w:val="21"/>
          <w:lang w:eastAsia="en-US"/>
        </w:rPr>
      </w:pPr>
      <w:r w:rsidRPr="004F64EE">
        <w:rPr>
          <w:rFonts w:cs="Arial"/>
          <w:sz w:val="21"/>
          <w:szCs w:val="21"/>
          <w:lang w:eastAsia="en-US"/>
        </w:rPr>
        <w:t xml:space="preserve">    </w:t>
      </w:r>
      <w:r w:rsidRPr="004F64EE">
        <w:rPr>
          <w:rFonts w:cs="Arial"/>
          <w:sz w:val="21"/>
          <w:szCs w:val="21"/>
          <w:lang w:eastAsia="en-US"/>
        </w:rPr>
        <w:tab/>
        <w:t xml:space="preserve">During 2014 and 2013 there were no fees paid to Baker in connection with the Company's compliance with Section 404 of the Sarbanes-Oxley Act of 2002. </w:t>
      </w:r>
    </w:p>
    <w:p w14:paraId="23AB3EB5" w14:textId="77777777" w:rsidR="00620703" w:rsidRPr="004F64EE" w:rsidRDefault="00620703" w:rsidP="004F64EE">
      <w:pPr>
        <w:keepNext/>
        <w:jc w:val="both"/>
        <w:rPr>
          <w:rFonts w:cs="Arial"/>
          <w:sz w:val="21"/>
          <w:szCs w:val="21"/>
          <w:lang w:eastAsia="en-US"/>
        </w:rPr>
      </w:pPr>
    </w:p>
    <w:p w14:paraId="23AB3EB6" w14:textId="77777777" w:rsidR="005216E6" w:rsidRPr="004F64EE" w:rsidRDefault="00620703" w:rsidP="00EB2EFB">
      <w:pPr>
        <w:suppressAutoHyphens w:val="0"/>
        <w:jc w:val="both"/>
        <w:rPr>
          <w:rFonts w:cs="Arial"/>
          <w:sz w:val="21"/>
          <w:szCs w:val="21"/>
          <w:lang w:eastAsia="en-US"/>
        </w:rPr>
      </w:pPr>
      <w:r w:rsidRPr="004F64EE">
        <w:rPr>
          <w:rFonts w:cs="Arial"/>
          <w:sz w:val="21"/>
          <w:szCs w:val="21"/>
          <w:lang w:eastAsia="en-US"/>
        </w:rPr>
        <w:tab/>
        <w:t>N</w:t>
      </w:r>
      <w:r w:rsidR="005216E6" w:rsidRPr="004F64EE">
        <w:rPr>
          <w:rFonts w:cs="Arial"/>
          <w:sz w:val="21"/>
          <w:szCs w:val="21"/>
          <w:lang w:eastAsia="en-US"/>
        </w:rPr>
        <w:t>o other fees were billed by Baker for the last two years that were reasonably related to the performance of the audit or review of the Company's financial statements and not reported under "Audit Fees" above.</w:t>
      </w:r>
    </w:p>
    <w:p w14:paraId="23AB3EB7" w14:textId="77777777" w:rsidR="005216E6" w:rsidRDefault="005216E6" w:rsidP="00EB2EFB">
      <w:pPr>
        <w:keepNext/>
        <w:jc w:val="both"/>
        <w:rPr>
          <w:rFonts w:cs="Arial"/>
          <w:b/>
          <w:bCs/>
          <w:sz w:val="22"/>
          <w:szCs w:val="22"/>
        </w:rPr>
      </w:pPr>
    </w:p>
    <w:p w14:paraId="23AB3EB8" w14:textId="77777777" w:rsidR="005216E6" w:rsidRDefault="005216E6" w:rsidP="00EB2EFB">
      <w:pPr>
        <w:keepNext/>
        <w:jc w:val="both"/>
        <w:rPr>
          <w:rFonts w:cs="Arial"/>
          <w:b/>
          <w:bCs/>
          <w:sz w:val="22"/>
          <w:szCs w:val="22"/>
        </w:rPr>
      </w:pPr>
      <w:r>
        <w:rPr>
          <w:rFonts w:cs="Arial"/>
          <w:b/>
          <w:bCs/>
          <w:sz w:val="22"/>
          <w:szCs w:val="22"/>
        </w:rPr>
        <w:t>Tax Fees</w:t>
      </w:r>
    </w:p>
    <w:p w14:paraId="23AB3EB9" w14:textId="77777777" w:rsidR="005216E6" w:rsidRDefault="005216E6" w:rsidP="00EB2EFB">
      <w:pPr>
        <w:keepNext/>
        <w:jc w:val="both"/>
        <w:rPr>
          <w:rFonts w:cs="Arial"/>
          <w:b/>
          <w:bCs/>
          <w:sz w:val="22"/>
          <w:szCs w:val="22"/>
        </w:rPr>
      </w:pPr>
    </w:p>
    <w:p w14:paraId="23AB3EBA" w14:textId="77777777" w:rsidR="005216E6" w:rsidRPr="004F64EE" w:rsidRDefault="005216E6" w:rsidP="00EB2EFB">
      <w:pPr>
        <w:suppressAutoHyphens w:val="0"/>
        <w:jc w:val="both"/>
        <w:rPr>
          <w:rFonts w:cs="Arial"/>
          <w:sz w:val="21"/>
          <w:szCs w:val="21"/>
          <w:lang w:eastAsia="en-US"/>
        </w:rPr>
      </w:pPr>
      <w:r w:rsidRPr="004F64EE">
        <w:rPr>
          <w:rFonts w:cs="Arial"/>
          <w:sz w:val="21"/>
          <w:szCs w:val="21"/>
          <w:lang w:eastAsia="en-US"/>
        </w:rPr>
        <w:t xml:space="preserve">     </w:t>
      </w:r>
      <w:r w:rsidRPr="004F64EE">
        <w:rPr>
          <w:rFonts w:cs="Arial"/>
          <w:sz w:val="21"/>
          <w:szCs w:val="21"/>
          <w:lang w:eastAsia="en-US"/>
        </w:rPr>
        <w:tab/>
        <w:t>There were no other fees billed by Baker during the last two fiscal years for professional services rendered for tax compliance, tax advice, or tax planning. Accordingly, none of such services were approved pursuant to pre-approval procedures or permitted waivers thereof.</w:t>
      </w:r>
    </w:p>
    <w:p w14:paraId="23AB3EBB" w14:textId="77777777" w:rsidR="005216E6" w:rsidRDefault="005216E6" w:rsidP="00EB2EFB">
      <w:pPr>
        <w:jc w:val="both"/>
        <w:rPr>
          <w:rFonts w:cs="Arial"/>
          <w:b/>
          <w:bCs/>
          <w:sz w:val="22"/>
          <w:szCs w:val="22"/>
        </w:rPr>
      </w:pPr>
    </w:p>
    <w:p w14:paraId="23AB3EBC" w14:textId="77777777" w:rsidR="005216E6" w:rsidRDefault="005216E6" w:rsidP="00EB2EFB">
      <w:pPr>
        <w:keepNext/>
        <w:jc w:val="both"/>
        <w:rPr>
          <w:rFonts w:cs="Arial"/>
          <w:sz w:val="22"/>
          <w:szCs w:val="22"/>
        </w:rPr>
      </w:pPr>
      <w:r>
        <w:rPr>
          <w:rFonts w:cs="Arial"/>
          <w:b/>
          <w:bCs/>
          <w:sz w:val="22"/>
          <w:szCs w:val="22"/>
        </w:rPr>
        <w:t>All Other Fees</w:t>
      </w:r>
    </w:p>
    <w:p w14:paraId="23AB3EBD" w14:textId="77777777" w:rsidR="005216E6" w:rsidRDefault="005216E6" w:rsidP="00EB2EFB">
      <w:pPr>
        <w:keepNext/>
        <w:jc w:val="both"/>
        <w:rPr>
          <w:rFonts w:cs="Arial"/>
          <w:sz w:val="22"/>
          <w:szCs w:val="22"/>
        </w:rPr>
      </w:pPr>
    </w:p>
    <w:p w14:paraId="23AB3EBE" w14:textId="77777777" w:rsidR="005216E6" w:rsidRPr="004F64EE" w:rsidRDefault="005216E6" w:rsidP="00EB2EFB">
      <w:pPr>
        <w:suppressAutoHyphens w:val="0"/>
        <w:jc w:val="both"/>
        <w:rPr>
          <w:rFonts w:cs="Arial"/>
          <w:sz w:val="21"/>
          <w:szCs w:val="21"/>
          <w:lang w:eastAsia="en-US"/>
        </w:rPr>
      </w:pPr>
      <w:r w:rsidRPr="004F64EE">
        <w:rPr>
          <w:rFonts w:cs="Arial"/>
          <w:sz w:val="21"/>
          <w:szCs w:val="21"/>
          <w:lang w:eastAsia="en-US"/>
        </w:rPr>
        <w:t xml:space="preserve"> </w:t>
      </w:r>
      <w:r w:rsidRPr="004F64EE">
        <w:rPr>
          <w:rFonts w:cs="Arial"/>
          <w:sz w:val="21"/>
          <w:szCs w:val="21"/>
          <w:lang w:eastAsia="en-US"/>
        </w:rPr>
        <w:tab/>
        <w:t xml:space="preserve">There were no non-audit-related fees billed to the Company by Baker in 2014 or 2013. </w:t>
      </w:r>
    </w:p>
    <w:p w14:paraId="23AB3EBF" w14:textId="77777777" w:rsidR="005216E6" w:rsidRDefault="005216E6" w:rsidP="00EB2EFB">
      <w:pPr>
        <w:jc w:val="both"/>
        <w:rPr>
          <w:rFonts w:cs="Arial"/>
          <w:b/>
          <w:bCs/>
          <w:sz w:val="22"/>
          <w:szCs w:val="22"/>
        </w:rPr>
      </w:pPr>
    </w:p>
    <w:p w14:paraId="23AB3EC0" w14:textId="77777777" w:rsidR="005216E6" w:rsidRDefault="005216E6" w:rsidP="00EB2EFB">
      <w:pPr>
        <w:keepNext/>
        <w:jc w:val="both"/>
        <w:rPr>
          <w:rFonts w:cs="Arial"/>
          <w:b/>
          <w:bCs/>
          <w:sz w:val="22"/>
          <w:szCs w:val="22"/>
        </w:rPr>
      </w:pPr>
      <w:r>
        <w:rPr>
          <w:rFonts w:cs="Arial"/>
          <w:b/>
          <w:bCs/>
          <w:sz w:val="22"/>
          <w:szCs w:val="22"/>
        </w:rPr>
        <w:t>Pre-approval Policies for Audit Services</w:t>
      </w:r>
    </w:p>
    <w:p w14:paraId="23AB3EC1" w14:textId="77777777" w:rsidR="005216E6" w:rsidRDefault="005216E6" w:rsidP="00EB2EFB">
      <w:pPr>
        <w:keepNext/>
        <w:jc w:val="both"/>
        <w:rPr>
          <w:rFonts w:cs="Arial"/>
          <w:sz w:val="22"/>
          <w:szCs w:val="22"/>
        </w:rPr>
      </w:pPr>
    </w:p>
    <w:p w14:paraId="23AB3EC2" w14:textId="77777777" w:rsidR="005216E6" w:rsidRPr="004F64EE" w:rsidRDefault="005216E6" w:rsidP="004F64EE">
      <w:pPr>
        <w:suppressAutoHyphens w:val="0"/>
        <w:jc w:val="both"/>
        <w:rPr>
          <w:rFonts w:cs="Arial"/>
          <w:sz w:val="21"/>
          <w:szCs w:val="21"/>
          <w:lang w:eastAsia="en-US"/>
        </w:rPr>
      </w:pPr>
      <w:r w:rsidRPr="004F64EE">
        <w:rPr>
          <w:rFonts w:cs="Arial"/>
          <w:sz w:val="21"/>
          <w:szCs w:val="21"/>
          <w:lang w:eastAsia="en-US"/>
        </w:rPr>
        <w:t xml:space="preserve">    </w:t>
      </w:r>
      <w:r w:rsidRPr="004F64EE">
        <w:rPr>
          <w:rFonts w:cs="Arial"/>
          <w:sz w:val="21"/>
          <w:szCs w:val="21"/>
          <w:lang w:eastAsia="en-US"/>
        </w:rPr>
        <w:tab/>
        <w:t>Engagement of accounting services by the Company is not made pursuant to any pre-approval policies or procedures. The Company believes that its accounting firm is independent because all of its engagements by the Company are approved by the Company's Audit Committee prior to any such engagement.</w:t>
      </w:r>
    </w:p>
    <w:p w14:paraId="23AB3EC3" w14:textId="77777777" w:rsidR="005216E6" w:rsidRDefault="005216E6" w:rsidP="00EB2EFB">
      <w:pPr>
        <w:jc w:val="both"/>
        <w:rPr>
          <w:color w:val="000000"/>
          <w:sz w:val="22"/>
          <w:szCs w:val="22"/>
        </w:rPr>
      </w:pPr>
    </w:p>
    <w:p w14:paraId="23AB3EC4" w14:textId="77777777" w:rsidR="005216E6" w:rsidRPr="004F64EE" w:rsidRDefault="005216E6" w:rsidP="004F64EE">
      <w:pPr>
        <w:suppressAutoHyphens w:val="0"/>
        <w:jc w:val="both"/>
        <w:rPr>
          <w:rFonts w:cs="Arial"/>
          <w:sz w:val="21"/>
          <w:szCs w:val="21"/>
          <w:lang w:eastAsia="en-US"/>
        </w:rPr>
      </w:pPr>
      <w:r w:rsidRPr="004F64EE">
        <w:rPr>
          <w:rFonts w:cs="Arial"/>
          <w:sz w:val="21"/>
          <w:szCs w:val="21"/>
          <w:lang w:eastAsia="en-US"/>
        </w:rPr>
        <w:t xml:space="preserve">     </w:t>
      </w:r>
      <w:r w:rsidRPr="004F64EE">
        <w:rPr>
          <w:rFonts w:cs="Arial"/>
          <w:sz w:val="21"/>
          <w:szCs w:val="21"/>
          <w:lang w:eastAsia="en-US"/>
        </w:rPr>
        <w:tab/>
        <w:t xml:space="preserve">The Audit Committee of the Company's </w:t>
      </w:r>
      <w:r w:rsidR="006F31D2" w:rsidRPr="004F64EE">
        <w:rPr>
          <w:rFonts w:cs="Arial"/>
          <w:sz w:val="21"/>
          <w:szCs w:val="21"/>
          <w:lang w:eastAsia="en-US"/>
        </w:rPr>
        <w:t>Board</w:t>
      </w:r>
      <w:r w:rsidRPr="004F64EE">
        <w:rPr>
          <w:rFonts w:cs="Arial"/>
          <w:sz w:val="21"/>
          <w:szCs w:val="21"/>
          <w:lang w:eastAsia="en-US"/>
        </w:rPr>
        <w:t xml:space="preserve"> meets periodically to review and approve the scope of the services to be provided to the Company by its independent accountant, as well as to review and discuss any issues that may arise during an engagement. The Audit Committee is responsible for the prior approval of every engagement of the Company's independent auditors to perform audit and permissible non-audit services for the Company (such as quarterly reviews, tax matters, consultation on new accounting and disclosure standards and, in future years, reporting on management's internal controls assessment).</w:t>
      </w:r>
    </w:p>
    <w:p w14:paraId="23AB3EC5" w14:textId="77777777" w:rsidR="005216E6" w:rsidRDefault="005216E6" w:rsidP="00EB2EFB">
      <w:pPr>
        <w:jc w:val="both"/>
        <w:rPr>
          <w:color w:val="000000"/>
          <w:sz w:val="22"/>
          <w:szCs w:val="22"/>
        </w:rPr>
      </w:pPr>
    </w:p>
    <w:p w14:paraId="23AB3EC6" w14:textId="77777777" w:rsidR="005216E6" w:rsidRPr="004F64EE" w:rsidRDefault="005216E6" w:rsidP="004F64EE">
      <w:pPr>
        <w:suppressAutoHyphens w:val="0"/>
        <w:ind w:firstLine="720"/>
        <w:jc w:val="both"/>
        <w:rPr>
          <w:rFonts w:cs="Arial"/>
          <w:sz w:val="21"/>
          <w:szCs w:val="21"/>
          <w:lang w:eastAsia="en-US"/>
        </w:rPr>
      </w:pPr>
      <w:r w:rsidRPr="004F64EE">
        <w:rPr>
          <w:rFonts w:cs="Arial"/>
          <w:sz w:val="21"/>
          <w:szCs w:val="21"/>
          <w:lang w:eastAsia="en-US"/>
        </w:rPr>
        <w:t>Before the auditors are engaged to provide those services, the chief financial officer and the controller will make a recommendation to the Audit Committee regarding each of the services to be performed, including the fees to be charged for such services. At the request of the Audit Committee the independent auditors and/or management shall periodically report to the Audit Committee regarding the extent of services being provided by the independent auditors, and the fees for the services performed to date.</w:t>
      </w:r>
    </w:p>
    <w:p w14:paraId="23AB3EC7" w14:textId="77777777" w:rsidR="005216E6" w:rsidRDefault="005216E6" w:rsidP="00EB2EFB">
      <w:pPr>
        <w:jc w:val="both"/>
        <w:rPr>
          <w:rFonts w:cs="Arial"/>
          <w:b/>
          <w:szCs w:val="24"/>
        </w:rPr>
      </w:pPr>
    </w:p>
    <w:p w14:paraId="23AB3EC8" w14:textId="77777777" w:rsidR="005216E6" w:rsidRDefault="005216E6" w:rsidP="00C73156">
      <w:pPr>
        <w:keepNext/>
        <w:jc w:val="center"/>
        <w:rPr>
          <w:rFonts w:cs="Arial"/>
          <w:b/>
          <w:szCs w:val="24"/>
        </w:rPr>
      </w:pPr>
      <w:r>
        <w:rPr>
          <w:rFonts w:cs="Arial"/>
          <w:b/>
          <w:szCs w:val="24"/>
        </w:rPr>
        <w:t>ANNUAL REPORT TO STOCKHOLDERS</w:t>
      </w:r>
    </w:p>
    <w:p w14:paraId="23AB3EC9" w14:textId="77777777" w:rsidR="005216E6" w:rsidRDefault="005216E6" w:rsidP="00EB2EFB">
      <w:pPr>
        <w:keepNext/>
        <w:jc w:val="both"/>
        <w:rPr>
          <w:rFonts w:cs="Arial"/>
          <w:sz w:val="22"/>
          <w:szCs w:val="22"/>
        </w:rPr>
      </w:pPr>
    </w:p>
    <w:p w14:paraId="23AB3ECA" w14:textId="77777777" w:rsidR="005216E6" w:rsidRPr="004F64EE" w:rsidRDefault="005216E6" w:rsidP="004F64EE">
      <w:pPr>
        <w:suppressAutoHyphens w:val="0"/>
        <w:ind w:firstLine="720"/>
        <w:jc w:val="both"/>
        <w:rPr>
          <w:rFonts w:cs="Arial"/>
          <w:sz w:val="21"/>
          <w:szCs w:val="21"/>
          <w:lang w:eastAsia="en-US"/>
        </w:rPr>
      </w:pPr>
      <w:r w:rsidRPr="004F64EE">
        <w:rPr>
          <w:rFonts w:cs="Arial"/>
          <w:sz w:val="21"/>
          <w:szCs w:val="21"/>
          <w:lang w:eastAsia="en-US"/>
        </w:rPr>
        <w:t>The Annual Report to Stockholders for the fiscal year ended December 31, 201</w:t>
      </w:r>
      <w:r w:rsidR="001640D2" w:rsidRPr="004F64EE">
        <w:rPr>
          <w:rFonts w:cs="Arial"/>
          <w:sz w:val="21"/>
          <w:szCs w:val="21"/>
          <w:lang w:eastAsia="en-US"/>
        </w:rPr>
        <w:t>4</w:t>
      </w:r>
      <w:r w:rsidRPr="004F64EE">
        <w:rPr>
          <w:rFonts w:cs="Arial"/>
          <w:sz w:val="21"/>
          <w:szCs w:val="21"/>
          <w:lang w:eastAsia="en-US"/>
        </w:rPr>
        <w:t xml:space="preserve"> accompanies this Proxy Statement. The Annual Report contains financial and other information about the Company, but is not incorporated into this Proxy Statement and is not deemed to be a part of the proxy soliciting material.  </w:t>
      </w:r>
    </w:p>
    <w:p w14:paraId="23AB3ECB" w14:textId="77777777" w:rsidR="005216E6" w:rsidRDefault="005216E6" w:rsidP="00EB2EFB">
      <w:pPr>
        <w:jc w:val="both"/>
        <w:rPr>
          <w:rFonts w:cs="Arial"/>
          <w:b/>
          <w:bCs/>
          <w:sz w:val="22"/>
          <w:szCs w:val="22"/>
        </w:rPr>
      </w:pPr>
    </w:p>
    <w:p w14:paraId="23AB3ECC" w14:textId="77777777" w:rsidR="005216E6" w:rsidRDefault="005216E6" w:rsidP="00C73156">
      <w:pPr>
        <w:keepNext/>
        <w:jc w:val="center"/>
        <w:rPr>
          <w:rFonts w:cs="Arial"/>
          <w:b/>
          <w:szCs w:val="24"/>
        </w:rPr>
      </w:pPr>
      <w:r>
        <w:rPr>
          <w:rFonts w:cs="Arial"/>
          <w:b/>
          <w:szCs w:val="24"/>
        </w:rPr>
        <w:t>STOCKHOLDER PROPOSALS</w:t>
      </w:r>
    </w:p>
    <w:p w14:paraId="23AB3ECD" w14:textId="77777777" w:rsidR="00E27849" w:rsidRDefault="00E27849" w:rsidP="00C73156">
      <w:pPr>
        <w:keepNext/>
        <w:jc w:val="center"/>
        <w:rPr>
          <w:rFonts w:cs="Arial"/>
          <w:b/>
          <w:szCs w:val="24"/>
        </w:rPr>
      </w:pPr>
    </w:p>
    <w:p w14:paraId="23AB3ECE" w14:textId="77777777" w:rsidR="009144D3" w:rsidRDefault="00774683" w:rsidP="004F64EE">
      <w:pPr>
        <w:suppressAutoHyphens w:val="0"/>
        <w:ind w:firstLine="720"/>
        <w:jc w:val="both"/>
        <w:rPr>
          <w:rFonts w:cs="Arial"/>
          <w:sz w:val="21"/>
          <w:szCs w:val="21"/>
          <w:lang w:eastAsia="en-US"/>
        </w:rPr>
      </w:pPr>
      <w:r w:rsidRPr="004F64EE">
        <w:rPr>
          <w:rFonts w:cs="Arial"/>
          <w:sz w:val="21"/>
          <w:szCs w:val="21"/>
          <w:lang w:eastAsia="en-US"/>
        </w:rPr>
        <w:t xml:space="preserve">Ms. Myra Young </w:t>
      </w:r>
      <w:r w:rsidR="00163FA3" w:rsidRPr="004F64EE">
        <w:rPr>
          <w:rFonts w:cs="Arial"/>
          <w:sz w:val="21"/>
          <w:szCs w:val="21"/>
          <w:lang w:eastAsia="en-US"/>
        </w:rPr>
        <w:t xml:space="preserve">of Elk Grove, California, </w:t>
      </w:r>
      <w:r w:rsidRPr="004F64EE">
        <w:rPr>
          <w:rFonts w:cs="Arial"/>
          <w:sz w:val="21"/>
          <w:szCs w:val="21"/>
          <w:lang w:eastAsia="en-US"/>
        </w:rPr>
        <w:t xml:space="preserve">has advised </w:t>
      </w:r>
      <w:r w:rsidR="002F4261" w:rsidRPr="004F64EE">
        <w:rPr>
          <w:rFonts w:cs="Arial"/>
          <w:sz w:val="21"/>
          <w:szCs w:val="21"/>
          <w:lang w:eastAsia="en-US"/>
        </w:rPr>
        <w:t>the Company</w:t>
      </w:r>
      <w:r w:rsidRPr="004F64EE">
        <w:rPr>
          <w:rFonts w:cs="Arial"/>
          <w:sz w:val="21"/>
          <w:szCs w:val="21"/>
          <w:lang w:eastAsia="en-US"/>
        </w:rPr>
        <w:t xml:space="preserve"> that she </w:t>
      </w:r>
      <w:r w:rsidR="002F4261" w:rsidRPr="004F64EE">
        <w:rPr>
          <w:rFonts w:cs="Arial"/>
          <w:sz w:val="21"/>
          <w:szCs w:val="21"/>
          <w:lang w:eastAsia="en-US"/>
        </w:rPr>
        <w:t>has de</w:t>
      </w:r>
      <w:r w:rsidR="009A1B0A" w:rsidRPr="004F64EE">
        <w:rPr>
          <w:rFonts w:cs="Arial"/>
          <w:sz w:val="21"/>
          <w:szCs w:val="21"/>
          <w:lang w:eastAsia="en-US"/>
        </w:rPr>
        <w:t>signated</w:t>
      </w:r>
      <w:r w:rsidR="002F4261" w:rsidRPr="004F64EE">
        <w:rPr>
          <w:rFonts w:cs="Arial"/>
          <w:sz w:val="21"/>
          <w:szCs w:val="21"/>
          <w:lang w:eastAsia="en-US"/>
        </w:rPr>
        <w:t xml:space="preserve"> John Chevedden as her agent to </w:t>
      </w:r>
      <w:r w:rsidRPr="004F64EE">
        <w:rPr>
          <w:rFonts w:cs="Arial"/>
          <w:sz w:val="21"/>
          <w:szCs w:val="21"/>
          <w:lang w:eastAsia="en-US"/>
        </w:rPr>
        <w:t xml:space="preserve">submit </w:t>
      </w:r>
      <w:r w:rsidR="009144D3" w:rsidRPr="004F64EE">
        <w:rPr>
          <w:rFonts w:cs="Arial"/>
          <w:sz w:val="21"/>
          <w:szCs w:val="21"/>
          <w:lang w:eastAsia="en-US"/>
        </w:rPr>
        <w:t xml:space="preserve">a </w:t>
      </w:r>
      <w:r w:rsidRPr="004F64EE">
        <w:rPr>
          <w:rFonts w:cs="Arial"/>
          <w:sz w:val="21"/>
          <w:szCs w:val="21"/>
          <w:lang w:eastAsia="en-US"/>
        </w:rPr>
        <w:t xml:space="preserve">proposal for consideration at our Annual Meeting. </w:t>
      </w:r>
      <w:r w:rsidR="009144D3" w:rsidRPr="004F64EE">
        <w:rPr>
          <w:rFonts w:cs="Arial"/>
          <w:sz w:val="21"/>
          <w:szCs w:val="21"/>
          <w:lang w:eastAsia="en-US"/>
        </w:rPr>
        <w:t xml:space="preserve"> The text of the stockholder proposal and supporting statement appear exactly as received by the Company unless otherwise noted. All statements contained in the proposal and supporting statement are the sole responsibility of the proponent. The stockholder proposal may contain assertions about the Company or other matters that we believe are incorrect, but we have not attempted to refute all of those assertions. </w:t>
      </w:r>
    </w:p>
    <w:p w14:paraId="23AB3ECF" w14:textId="77777777" w:rsidR="00620703" w:rsidRPr="004F64EE" w:rsidRDefault="00620703" w:rsidP="004F64EE">
      <w:pPr>
        <w:suppressAutoHyphens w:val="0"/>
        <w:ind w:firstLine="720"/>
        <w:jc w:val="both"/>
        <w:rPr>
          <w:rFonts w:cs="Arial"/>
          <w:sz w:val="21"/>
          <w:szCs w:val="21"/>
          <w:lang w:eastAsia="en-US"/>
        </w:rPr>
      </w:pPr>
    </w:p>
    <w:p w14:paraId="23AB3ED0" w14:textId="77777777" w:rsidR="00620703" w:rsidRDefault="009144D3" w:rsidP="004F64EE">
      <w:pPr>
        <w:suppressAutoHyphens w:val="0"/>
        <w:ind w:firstLine="720"/>
        <w:jc w:val="both"/>
        <w:rPr>
          <w:rFonts w:cs="Arial"/>
          <w:sz w:val="21"/>
          <w:szCs w:val="21"/>
          <w:lang w:eastAsia="en-US"/>
        </w:rPr>
      </w:pPr>
      <w:r w:rsidRPr="004F64EE">
        <w:rPr>
          <w:rFonts w:cs="Arial"/>
          <w:sz w:val="21"/>
          <w:szCs w:val="21"/>
          <w:lang w:eastAsia="en-US"/>
        </w:rPr>
        <w:t>The proposal will be voted on at the Annual Meeting only if properly presented by or on behalf of the proponent. Adoption of this proposal requires the affirmative vote of a majority of the shares present in person or represented by proxy.</w:t>
      </w:r>
    </w:p>
    <w:p w14:paraId="23AB3ED1" w14:textId="77777777" w:rsidR="009144D3" w:rsidRPr="004F64EE" w:rsidRDefault="009144D3" w:rsidP="004F64EE">
      <w:pPr>
        <w:suppressAutoHyphens w:val="0"/>
        <w:ind w:firstLine="720"/>
        <w:jc w:val="both"/>
        <w:rPr>
          <w:rFonts w:cs="Arial"/>
          <w:sz w:val="21"/>
          <w:szCs w:val="21"/>
          <w:lang w:eastAsia="en-US"/>
        </w:rPr>
      </w:pPr>
      <w:r w:rsidRPr="004F64EE">
        <w:rPr>
          <w:rFonts w:cs="Arial"/>
          <w:sz w:val="21"/>
          <w:szCs w:val="21"/>
          <w:lang w:eastAsia="en-US"/>
        </w:rPr>
        <w:t xml:space="preserve"> </w:t>
      </w:r>
    </w:p>
    <w:p w14:paraId="23AB3ED2" w14:textId="77777777" w:rsidR="009144D3" w:rsidRDefault="009144D3" w:rsidP="004F64EE">
      <w:pPr>
        <w:suppressAutoHyphens w:val="0"/>
        <w:ind w:firstLine="720"/>
        <w:jc w:val="both"/>
        <w:rPr>
          <w:rFonts w:cs="Arial"/>
          <w:sz w:val="21"/>
          <w:szCs w:val="21"/>
          <w:lang w:eastAsia="en-US"/>
        </w:rPr>
      </w:pPr>
      <w:r w:rsidRPr="004F64EE">
        <w:rPr>
          <w:rFonts w:cs="Arial"/>
          <w:sz w:val="21"/>
          <w:szCs w:val="21"/>
          <w:lang w:eastAsia="en-US"/>
        </w:rPr>
        <w:t>The Board recommends a vote AGAINST the stockholder proposal based on the reasons set forth in the Company’s Statement in Opposition following the stockholder proposal.</w:t>
      </w:r>
    </w:p>
    <w:p w14:paraId="23AB3ED3" w14:textId="77777777" w:rsidR="00620703" w:rsidRPr="004F64EE" w:rsidRDefault="00620703" w:rsidP="004F64EE">
      <w:pPr>
        <w:suppressAutoHyphens w:val="0"/>
        <w:ind w:firstLine="720"/>
        <w:jc w:val="both"/>
        <w:rPr>
          <w:rFonts w:cs="Arial"/>
          <w:sz w:val="21"/>
          <w:szCs w:val="21"/>
          <w:lang w:eastAsia="en-US"/>
        </w:rPr>
      </w:pPr>
    </w:p>
    <w:p w14:paraId="23AB3ED4" w14:textId="77777777" w:rsidR="00774683" w:rsidRDefault="006F31D2" w:rsidP="004F64EE">
      <w:pPr>
        <w:suppressAutoHyphens w:val="0"/>
        <w:ind w:firstLine="720"/>
        <w:jc w:val="both"/>
        <w:rPr>
          <w:rFonts w:cs="Arial"/>
          <w:sz w:val="21"/>
          <w:szCs w:val="21"/>
          <w:lang w:eastAsia="en-US"/>
        </w:rPr>
      </w:pPr>
      <w:r w:rsidRPr="004F64EE">
        <w:rPr>
          <w:rFonts w:cs="Arial"/>
          <w:sz w:val="21"/>
          <w:szCs w:val="21"/>
          <w:lang w:eastAsia="en-US"/>
        </w:rPr>
        <w:t xml:space="preserve">Myra Young’s </w:t>
      </w:r>
      <w:r w:rsidR="009144D3" w:rsidRPr="004F64EE">
        <w:rPr>
          <w:rFonts w:cs="Arial"/>
          <w:sz w:val="21"/>
          <w:szCs w:val="21"/>
          <w:lang w:eastAsia="en-US"/>
        </w:rPr>
        <w:t xml:space="preserve">proposal </w:t>
      </w:r>
      <w:r w:rsidRPr="004F64EE">
        <w:rPr>
          <w:rFonts w:cs="Arial"/>
          <w:sz w:val="21"/>
          <w:szCs w:val="21"/>
          <w:lang w:eastAsia="en-US"/>
        </w:rPr>
        <w:t xml:space="preserve">and supporting statement are </w:t>
      </w:r>
      <w:r w:rsidR="009144D3" w:rsidRPr="004F64EE">
        <w:rPr>
          <w:rFonts w:cs="Arial"/>
          <w:sz w:val="21"/>
          <w:szCs w:val="21"/>
          <w:lang w:eastAsia="en-US"/>
        </w:rPr>
        <w:t>as follows:</w:t>
      </w:r>
    </w:p>
    <w:p w14:paraId="23AB3ED5" w14:textId="77777777" w:rsidR="00620703" w:rsidRDefault="00620703" w:rsidP="004F64EE">
      <w:pPr>
        <w:suppressAutoHyphens w:val="0"/>
        <w:ind w:firstLine="720"/>
        <w:jc w:val="both"/>
        <w:rPr>
          <w:rFonts w:cs="Arial"/>
          <w:sz w:val="21"/>
          <w:szCs w:val="21"/>
          <w:lang w:eastAsia="en-US"/>
        </w:rPr>
      </w:pPr>
    </w:p>
    <w:p w14:paraId="23AB3ED6" w14:textId="77777777" w:rsidR="00620703" w:rsidRDefault="00620703" w:rsidP="004F64EE">
      <w:pPr>
        <w:suppressAutoHyphens w:val="0"/>
        <w:ind w:firstLine="720"/>
        <w:jc w:val="both"/>
        <w:rPr>
          <w:rFonts w:cs="Arial"/>
          <w:sz w:val="21"/>
          <w:szCs w:val="21"/>
          <w:lang w:eastAsia="en-US"/>
        </w:rPr>
      </w:pPr>
    </w:p>
    <w:p w14:paraId="23AB3ED7" w14:textId="77777777" w:rsidR="00620703" w:rsidRDefault="00620703" w:rsidP="004F64EE">
      <w:pPr>
        <w:suppressAutoHyphens w:val="0"/>
        <w:ind w:firstLine="720"/>
        <w:jc w:val="both"/>
        <w:rPr>
          <w:rFonts w:cs="Arial"/>
          <w:sz w:val="21"/>
          <w:szCs w:val="21"/>
          <w:lang w:eastAsia="en-US"/>
        </w:rPr>
      </w:pPr>
    </w:p>
    <w:p w14:paraId="23AB3ED8" w14:textId="77777777" w:rsidR="00620703" w:rsidRPr="004F64EE" w:rsidRDefault="00620703" w:rsidP="004F64EE">
      <w:pPr>
        <w:suppressAutoHyphens w:val="0"/>
        <w:ind w:firstLine="720"/>
        <w:jc w:val="both"/>
        <w:rPr>
          <w:rFonts w:cs="Arial"/>
          <w:sz w:val="21"/>
          <w:szCs w:val="21"/>
          <w:lang w:eastAsia="en-US"/>
        </w:rPr>
      </w:pPr>
    </w:p>
    <w:p w14:paraId="23AB3ED9" w14:textId="77777777" w:rsidR="00774683" w:rsidRPr="00B23286" w:rsidRDefault="00774683" w:rsidP="004F64EE">
      <w:pPr>
        <w:ind w:right="2232"/>
        <w:rPr>
          <w:rFonts w:cs="Arial"/>
          <w:b/>
          <w:i/>
          <w:color w:val="000000"/>
          <w:spacing w:val="-9"/>
          <w:sz w:val="22"/>
          <w:szCs w:val="22"/>
        </w:rPr>
      </w:pPr>
      <w:r w:rsidRPr="00B23286">
        <w:rPr>
          <w:rFonts w:cs="Arial"/>
          <w:b/>
          <w:i/>
          <w:color w:val="000000"/>
          <w:spacing w:val="-8"/>
          <w:sz w:val="22"/>
          <w:szCs w:val="22"/>
        </w:rPr>
        <w:t>Proxy Access for Shareholders</w:t>
      </w:r>
    </w:p>
    <w:p w14:paraId="23AB3EDA" w14:textId="77777777" w:rsidR="00774683" w:rsidRPr="00B23286" w:rsidRDefault="00774683" w:rsidP="00774683">
      <w:pPr>
        <w:spacing w:before="180" w:line="213" w:lineRule="auto"/>
        <w:rPr>
          <w:rFonts w:cs="Arial"/>
          <w:b/>
          <w:i/>
          <w:color w:val="000000"/>
          <w:sz w:val="22"/>
          <w:szCs w:val="22"/>
        </w:rPr>
      </w:pPr>
      <w:r w:rsidRPr="00B23286">
        <w:rPr>
          <w:rFonts w:cs="Arial"/>
          <w:b/>
          <w:i/>
          <w:color w:val="000000"/>
          <w:sz w:val="22"/>
          <w:szCs w:val="22"/>
        </w:rPr>
        <w:t>Resolution</w:t>
      </w:r>
    </w:p>
    <w:p w14:paraId="23AB3EDB" w14:textId="77777777" w:rsidR="00774683" w:rsidRPr="004F64EE" w:rsidRDefault="00774683" w:rsidP="00774683">
      <w:pPr>
        <w:spacing w:before="252"/>
        <w:rPr>
          <w:rFonts w:cs="Arial"/>
          <w:i/>
          <w:color w:val="000000"/>
          <w:spacing w:val="-9"/>
          <w:sz w:val="21"/>
          <w:szCs w:val="21"/>
        </w:rPr>
      </w:pPr>
      <w:r w:rsidRPr="004F64EE">
        <w:rPr>
          <w:rFonts w:cs="Arial"/>
          <w:i/>
          <w:color w:val="000000"/>
          <w:spacing w:val="-9"/>
          <w:sz w:val="21"/>
          <w:szCs w:val="21"/>
        </w:rPr>
        <w:t xml:space="preserve">Shareholders ask the United-Guardian Inc. (UG) board, to the fullest extent permitted by </w:t>
      </w:r>
      <w:r w:rsidRPr="004F64EE">
        <w:rPr>
          <w:rFonts w:cs="Arial"/>
          <w:i/>
          <w:color w:val="000000"/>
          <w:spacing w:val="-7"/>
          <w:sz w:val="21"/>
          <w:szCs w:val="21"/>
        </w:rPr>
        <w:t xml:space="preserve">law, to amend our governing documents to allow shareholders to make board </w:t>
      </w:r>
      <w:r w:rsidRPr="004F64EE">
        <w:rPr>
          <w:rFonts w:cs="Arial"/>
          <w:i/>
          <w:color w:val="000000"/>
          <w:spacing w:val="-10"/>
          <w:sz w:val="21"/>
          <w:szCs w:val="21"/>
        </w:rPr>
        <w:t>nominations as follows:</w:t>
      </w:r>
    </w:p>
    <w:p w14:paraId="23AB3EDC" w14:textId="77777777" w:rsidR="00774683" w:rsidRPr="004F64EE" w:rsidRDefault="00774683" w:rsidP="00774683">
      <w:pPr>
        <w:numPr>
          <w:ilvl w:val="0"/>
          <w:numId w:val="25"/>
        </w:numPr>
        <w:tabs>
          <w:tab w:val="clear" w:pos="288"/>
          <w:tab w:val="decimal" w:pos="360"/>
        </w:tabs>
        <w:suppressAutoHyphens w:val="0"/>
        <w:spacing w:before="216"/>
        <w:ind w:left="0" w:right="144" w:firstLine="72"/>
        <w:rPr>
          <w:rFonts w:cs="Arial"/>
          <w:i/>
          <w:color w:val="000000"/>
          <w:spacing w:val="-8"/>
          <w:sz w:val="21"/>
          <w:szCs w:val="21"/>
        </w:rPr>
      </w:pPr>
      <w:r w:rsidRPr="004F64EE">
        <w:rPr>
          <w:rFonts w:cs="Arial"/>
          <w:i/>
          <w:color w:val="000000"/>
          <w:spacing w:val="-8"/>
          <w:sz w:val="21"/>
          <w:szCs w:val="21"/>
        </w:rPr>
        <w:t xml:space="preserve">The Company proxy statement, form of proxy, and voting instruction forms shall </w:t>
      </w:r>
      <w:r w:rsidRPr="004F64EE">
        <w:rPr>
          <w:rFonts w:cs="Arial"/>
          <w:i/>
          <w:color w:val="000000"/>
          <w:spacing w:val="-11"/>
          <w:sz w:val="21"/>
          <w:szCs w:val="21"/>
        </w:rPr>
        <w:t xml:space="preserve">include, listed with the board's nominees, alphabetically by last name, nominees of any </w:t>
      </w:r>
      <w:r w:rsidRPr="004F64EE">
        <w:rPr>
          <w:rFonts w:cs="Arial"/>
          <w:i/>
          <w:color w:val="000000"/>
          <w:spacing w:val="-8"/>
          <w:sz w:val="21"/>
          <w:szCs w:val="21"/>
        </w:rPr>
        <w:t xml:space="preserve">party of one or more shareholders that have collectively held, continuously for three years, at least three percent of the Company's securities eligible to vote for the election </w:t>
      </w:r>
      <w:r w:rsidRPr="004F64EE">
        <w:rPr>
          <w:rFonts w:cs="Arial"/>
          <w:i/>
          <w:color w:val="000000"/>
          <w:spacing w:val="-4"/>
          <w:sz w:val="21"/>
          <w:szCs w:val="21"/>
        </w:rPr>
        <w:t>of directors.</w:t>
      </w:r>
    </w:p>
    <w:p w14:paraId="23AB3EDD" w14:textId="77777777" w:rsidR="00774683" w:rsidRPr="004F64EE" w:rsidRDefault="00774683" w:rsidP="004F64EE">
      <w:pPr>
        <w:numPr>
          <w:ilvl w:val="0"/>
          <w:numId w:val="25"/>
        </w:numPr>
        <w:tabs>
          <w:tab w:val="clear" w:pos="288"/>
          <w:tab w:val="decimal" w:pos="360"/>
        </w:tabs>
        <w:suppressAutoHyphens w:val="0"/>
        <w:spacing w:before="216"/>
        <w:ind w:left="0" w:right="144" w:firstLine="72"/>
        <w:rPr>
          <w:rFonts w:cs="Arial"/>
          <w:i/>
          <w:color w:val="000000"/>
          <w:spacing w:val="-8"/>
          <w:sz w:val="21"/>
          <w:szCs w:val="21"/>
        </w:rPr>
      </w:pPr>
      <w:r w:rsidRPr="004F64EE">
        <w:rPr>
          <w:rFonts w:cs="Arial"/>
          <w:i/>
          <w:color w:val="000000"/>
          <w:spacing w:val="-8"/>
          <w:sz w:val="21"/>
          <w:szCs w:val="21"/>
        </w:rPr>
        <w:t>Board members and officers of the Company may not be members of any such nominating party of shareholders.</w:t>
      </w:r>
    </w:p>
    <w:p w14:paraId="23AB3EDE" w14:textId="77777777" w:rsidR="00774683" w:rsidRPr="00B23286" w:rsidRDefault="00AF1338" w:rsidP="00774683">
      <w:pPr>
        <w:numPr>
          <w:ilvl w:val="0"/>
          <w:numId w:val="25"/>
        </w:numPr>
        <w:tabs>
          <w:tab w:val="clear" w:pos="288"/>
          <w:tab w:val="decimal" w:pos="360"/>
        </w:tabs>
        <w:suppressAutoHyphens w:val="0"/>
        <w:spacing w:before="324"/>
        <w:ind w:left="0" w:right="864" w:firstLine="72"/>
        <w:rPr>
          <w:rFonts w:cs="Arial"/>
          <w:i/>
          <w:color w:val="000000"/>
          <w:spacing w:val="-15"/>
          <w:sz w:val="22"/>
          <w:szCs w:val="22"/>
        </w:rPr>
      </w:pPr>
      <w:r w:rsidRPr="00AF1338">
        <w:rPr>
          <w:rFonts w:cs="Arial"/>
          <w:i/>
          <w:color w:val="000000"/>
          <w:spacing w:val="-8"/>
          <w:sz w:val="21"/>
          <w:szCs w:val="21"/>
        </w:rPr>
        <w:t>The number of shareholder-nominated candidates appearing in proxy materials shall not exceed one quarte</w:t>
      </w:r>
      <w:r>
        <w:rPr>
          <w:rFonts w:cs="Arial"/>
          <w:i/>
          <w:color w:val="000000"/>
          <w:spacing w:val="-8"/>
          <w:sz w:val="21"/>
          <w:szCs w:val="21"/>
        </w:rPr>
        <w:t>r of the directors then serving</w:t>
      </w:r>
      <w:r w:rsidR="00774683" w:rsidRPr="00B23286">
        <w:rPr>
          <w:rFonts w:cs="Arial"/>
          <w:i/>
          <w:color w:val="000000"/>
          <w:spacing w:val="-9"/>
          <w:sz w:val="22"/>
          <w:szCs w:val="22"/>
        </w:rPr>
        <w:t>.</w:t>
      </w:r>
    </w:p>
    <w:p w14:paraId="23AB3EDF" w14:textId="77777777" w:rsidR="00774683" w:rsidRPr="00B23286" w:rsidRDefault="00774683" w:rsidP="00774683">
      <w:pPr>
        <w:numPr>
          <w:ilvl w:val="0"/>
          <w:numId w:val="25"/>
        </w:numPr>
        <w:tabs>
          <w:tab w:val="clear" w:pos="288"/>
          <w:tab w:val="decimal" w:pos="360"/>
        </w:tabs>
        <w:suppressAutoHyphens w:val="0"/>
        <w:spacing w:before="324"/>
        <w:ind w:left="0" w:right="360" w:firstLine="72"/>
        <w:rPr>
          <w:rFonts w:cs="Arial"/>
          <w:i/>
          <w:color w:val="000000"/>
          <w:spacing w:val="-14"/>
          <w:sz w:val="22"/>
          <w:szCs w:val="22"/>
        </w:rPr>
      </w:pPr>
      <w:r w:rsidRPr="004F64EE">
        <w:rPr>
          <w:rFonts w:cs="Arial"/>
          <w:i/>
          <w:color w:val="000000"/>
          <w:spacing w:val="-8"/>
          <w:sz w:val="21"/>
          <w:szCs w:val="21"/>
        </w:rPr>
        <w:t>Preference will be shown to groups holding the greatest number of the Company's shares for at least three years</w:t>
      </w:r>
      <w:r w:rsidRPr="00B23286">
        <w:rPr>
          <w:rFonts w:cs="Arial"/>
          <w:i/>
          <w:color w:val="000000"/>
          <w:spacing w:val="-6"/>
          <w:sz w:val="22"/>
          <w:szCs w:val="22"/>
        </w:rPr>
        <w:t>.</w:t>
      </w:r>
    </w:p>
    <w:p w14:paraId="23AB3EE0" w14:textId="77777777" w:rsidR="00774683" w:rsidRPr="00B23286" w:rsidRDefault="00774683" w:rsidP="004F64EE">
      <w:pPr>
        <w:numPr>
          <w:ilvl w:val="0"/>
          <w:numId w:val="25"/>
        </w:numPr>
        <w:tabs>
          <w:tab w:val="clear" w:pos="288"/>
          <w:tab w:val="decimal" w:pos="360"/>
        </w:tabs>
        <w:suppressAutoHyphens w:val="0"/>
        <w:spacing w:before="216"/>
        <w:ind w:left="0" w:right="144" w:firstLine="72"/>
        <w:rPr>
          <w:rFonts w:cs="Arial"/>
          <w:i/>
          <w:color w:val="000000"/>
          <w:spacing w:val="-5"/>
          <w:sz w:val="22"/>
          <w:szCs w:val="22"/>
        </w:rPr>
      </w:pPr>
      <w:r w:rsidRPr="004F64EE">
        <w:rPr>
          <w:rFonts w:cs="Arial"/>
          <w:i/>
          <w:color w:val="000000"/>
          <w:spacing w:val="-8"/>
          <w:sz w:val="21"/>
          <w:szCs w:val="21"/>
        </w:rPr>
        <w:t>Nominees may include in the proxy statement a 500 word supporting statement</w:t>
      </w:r>
      <w:r w:rsidRPr="00B23286">
        <w:rPr>
          <w:rFonts w:cs="Arial"/>
          <w:i/>
          <w:color w:val="000000"/>
          <w:spacing w:val="-5"/>
          <w:sz w:val="22"/>
          <w:szCs w:val="22"/>
        </w:rPr>
        <w:t>.</w:t>
      </w:r>
    </w:p>
    <w:p w14:paraId="23AB3EE1" w14:textId="77777777" w:rsidR="00774683" w:rsidRPr="004F64EE" w:rsidRDefault="00774683" w:rsidP="004F64EE">
      <w:pPr>
        <w:numPr>
          <w:ilvl w:val="0"/>
          <w:numId w:val="25"/>
        </w:numPr>
        <w:tabs>
          <w:tab w:val="clear" w:pos="288"/>
          <w:tab w:val="decimal" w:pos="360"/>
        </w:tabs>
        <w:suppressAutoHyphens w:val="0"/>
        <w:spacing w:before="216"/>
        <w:ind w:left="0" w:right="144" w:firstLine="72"/>
        <w:rPr>
          <w:rFonts w:cs="Arial"/>
          <w:i/>
          <w:color w:val="000000"/>
          <w:spacing w:val="-8"/>
          <w:sz w:val="21"/>
          <w:szCs w:val="21"/>
        </w:rPr>
      </w:pPr>
      <w:r w:rsidRPr="004F64EE">
        <w:rPr>
          <w:rFonts w:cs="Arial"/>
          <w:i/>
          <w:color w:val="000000"/>
          <w:spacing w:val="-8"/>
          <w:sz w:val="21"/>
          <w:szCs w:val="21"/>
        </w:rPr>
        <w:t>Each proxy statement or special meeting notice to elect board members shall include instructions for nominating under these provisions, fully explaining all legal requirements for nominators and nominees under federal law, state law and the company's governing documents.</w:t>
      </w:r>
    </w:p>
    <w:p w14:paraId="23AB3EE2" w14:textId="77777777" w:rsidR="00774683" w:rsidRPr="00B23286" w:rsidRDefault="00774683" w:rsidP="00774683">
      <w:pPr>
        <w:spacing w:before="216"/>
        <w:rPr>
          <w:rFonts w:cs="Arial"/>
          <w:b/>
          <w:i/>
          <w:color w:val="000000"/>
          <w:spacing w:val="-8"/>
          <w:sz w:val="22"/>
          <w:szCs w:val="22"/>
        </w:rPr>
      </w:pPr>
      <w:r w:rsidRPr="00B23286">
        <w:rPr>
          <w:rFonts w:cs="Arial"/>
          <w:b/>
          <w:i/>
          <w:color w:val="000000"/>
          <w:spacing w:val="-8"/>
          <w:sz w:val="22"/>
          <w:szCs w:val="22"/>
        </w:rPr>
        <w:t>Supporting Statement</w:t>
      </w:r>
    </w:p>
    <w:p w14:paraId="23AB3EE3" w14:textId="77777777" w:rsidR="005860ED" w:rsidRPr="005860ED" w:rsidRDefault="00774683" w:rsidP="004F64EE">
      <w:pPr>
        <w:numPr>
          <w:ilvl w:val="0"/>
          <w:numId w:val="26"/>
        </w:numPr>
        <w:tabs>
          <w:tab w:val="clear" w:pos="432"/>
          <w:tab w:val="decimal" w:pos="792"/>
        </w:tabs>
        <w:suppressAutoHyphens w:val="0"/>
        <w:spacing w:before="180" w:after="80"/>
        <w:ind w:left="792" w:right="216" w:hanging="432"/>
        <w:rPr>
          <w:rFonts w:cs="Arial"/>
          <w:i/>
          <w:color w:val="000000"/>
          <w:spacing w:val="-14"/>
          <w:sz w:val="22"/>
          <w:szCs w:val="22"/>
        </w:rPr>
      </w:pPr>
      <w:r w:rsidRPr="004F64EE">
        <w:rPr>
          <w:rFonts w:cs="Arial"/>
          <w:i/>
          <w:color w:val="000000"/>
          <w:spacing w:val="-8"/>
          <w:sz w:val="21"/>
          <w:szCs w:val="21"/>
        </w:rPr>
        <w:t>The right of shareholders to nominate board candidates is fundamental to good corporate governance and board accountability</w:t>
      </w:r>
      <w:r w:rsidRPr="00B23286">
        <w:rPr>
          <w:rFonts w:cs="Arial"/>
          <w:i/>
          <w:color w:val="000000"/>
          <w:spacing w:val="-9"/>
          <w:sz w:val="22"/>
          <w:szCs w:val="22"/>
        </w:rPr>
        <w:t>.</w:t>
      </w:r>
    </w:p>
    <w:p w14:paraId="23AB3EE4" w14:textId="77777777" w:rsidR="00774683" w:rsidRPr="004F64EE" w:rsidRDefault="00774683" w:rsidP="004F64EE">
      <w:pPr>
        <w:numPr>
          <w:ilvl w:val="0"/>
          <w:numId w:val="26"/>
        </w:numPr>
        <w:tabs>
          <w:tab w:val="clear" w:pos="432"/>
          <w:tab w:val="decimal" w:pos="792"/>
        </w:tabs>
        <w:suppressAutoHyphens w:val="0"/>
        <w:spacing w:after="80"/>
        <w:ind w:left="792" w:hanging="432"/>
        <w:rPr>
          <w:rFonts w:cs="Arial"/>
          <w:i/>
          <w:color w:val="000000"/>
          <w:spacing w:val="-11"/>
          <w:sz w:val="21"/>
          <w:szCs w:val="21"/>
        </w:rPr>
      </w:pPr>
      <w:r w:rsidRPr="004F64EE">
        <w:rPr>
          <w:rFonts w:cs="Arial"/>
          <w:i/>
          <w:color w:val="000000"/>
          <w:spacing w:val="-11"/>
          <w:sz w:val="21"/>
          <w:szCs w:val="21"/>
        </w:rPr>
        <w:t xml:space="preserve">Long-term owners of the Company should have a meaningful voice in nominating </w:t>
      </w:r>
      <w:r w:rsidRPr="004F64EE">
        <w:rPr>
          <w:rFonts w:cs="Arial"/>
          <w:i/>
          <w:color w:val="000000"/>
          <w:spacing w:val="-10"/>
          <w:sz w:val="21"/>
          <w:szCs w:val="21"/>
        </w:rPr>
        <w:t>and electing directors.</w:t>
      </w:r>
    </w:p>
    <w:p w14:paraId="23AB3EE5" w14:textId="77777777" w:rsidR="00774683" w:rsidRPr="004F64EE" w:rsidRDefault="00774683" w:rsidP="004F64EE">
      <w:pPr>
        <w:numPr>
          <w:ilvl w:val="0"/>
          <w:numId w:val="26"/>
        </w:numPr>
        <w:tabs>
          <w:tab w:val="clear" w:pos="432"/>
          <w:tab w:val="decimal" w:pos="792"/>
        </w:tabs>
        <w:suppressAutoHyphens w:val="0"/>
        <w:spacing w:after="80"/>
        <w:ind w:left="792" w:hanging="432"/>
        <w:rPr>
          <w:rFonts w:cs="Arial"/>
          <w:i/>
          <w:color w:val="000000"/>
          <w:spacing w:val="-11"/>
          <w:sz w:val="21"/>
          <w:szCs w:val="21"/>
        </w:rPr>
      </w:pPr>
      <w:r w:rsidRPr="004F64EE">
        <w:rPr>
          <w:rFonts w:cs="Arial"/>
          <w:i/>
          <w:color w:val="000000"/>
          <w:spacing w:val="-11"/>
          <w:sz w:val="21"/>
          <w:szCs w:val="21"/>
        </w:rPr>
        <w:t>This proposal adopts popular 3% and 3-year eligibility thresholds.</w:t>
      </w:r>
    </w:p>
    <w:p w14:paraId="23AB3EE6" w14:textId="77777777" w:rsidR="00774683" w:rsidRPr="004F64EE" w:rsidRDefault="00774683" w:rsidP="004F64EE">
      <w:pPr>
        <w:numPr>
          <w:ilvl w:val="0"/>
          <w:numId w:val="26"/>
        </w:numPr>
        <w:tabs>
          <w:tab w:val="clear" w:pos="432"/>
          <w:tab w:val="decimal" w:pos="792"/>
        </w:tabs>
        <w:suppressAutoHyphens w:val="0"/>
        <w:spacing w:after="80"/>
        <w:ind w:left="792" w:hanging="432"/>
        <w:rPr>
          <w:rFonts w:cs="Arial"/>
          <w:i/>
          <w:color w:val="000000"/>
          <w:spacing w:val="-11"/>
          <w:sz w:val="21"/>
          <w:szCs w:val="21"/>
        </w:rPr>
      </w:pPr>
      <w:r w:rsidRPr="004F64EE">
        <w:rPr>
          <w:rFonts w:cs="Arial"/>
          <w:i/>
          <w:color w:val="000000"/>
          <w:spacing w:val="-11"/>
          <w:sz w:val="21"/>
          <w:szCs w:val="21"/>
        </w:rPr>
        <w:t>Limiting shareholder-nominated candidates to 25% means control remains with board nominees.</w:t>
      </w:r>
    </w:p>
    <w:p w14:paraId="23AB3EE7" w14:textId="77777777" w:rsidR="00774683" w:rsidRPr="004F64EE" w:rsidRDefault="00774683" w:rsidP="004F64EE">
      <w:pPr>
        <w:numPr>
          <w:ilvl w:val="0"/>
          <w:numId w:val="26"/>
        </w:numPr>
        <w:tabs>
          <w:tab w:val="clear" w:pos="432"/>
          <w:tab w:val="decimal" w:pos="792"/>
        </w:tabs>
        <w:suppressAutoHyphens w:val="0"/>
        <w:spacing w:after="80"/>
        <w:ind w:left="792" w:hanging="432"/>
        <w:rPr>
          <w:rFonts w:cs="Arial"/>
          <w:i/>
          <w:color w:val="000000"/>
          <w:spacing w:val="-11"/>
          <w:sz w:val="21"/>
          <w:szCs w:val="21"/>
        </w:rPr>
      </w:pPr>
      <w:r w:rsidRPr="004F64EE">
        <w:rPr>
          <w:rFonts w:cs="Arial"/>
          <w:i/>
          <w:color w:val="000000"/>
          <w:spacing w:val="-11"/>
          <w:sz w:val="21"/>
          <w:szCs w:val="21"/>
        </w:rPr>
        <w:t>Our Company's share price has substantially underperformed the NASDAQ during the latest one, two and five year time-periods.</w:t>
      </w:r>
    </w:p>
    <w:p w14:paraId="23AB3EE8" w14:textId="77777777" w:rsidR="00774683" w:rsidRPr="004F64EE" w:rsidRDefault="00774683" w:rsidP="004F64EE">
      <w:pPr>
        <w:numPr>
          <w:ilvl w:val="0"/>
          <w:numId w:val="26"/>
        </w:numPr>
        <w:tabs>
          <w:tab w:val="clear" w:pos="432"/>
          <w:tab w:val="decimal" w:pos="792"/>
        </w:tabs>
        <w:suppressAutoHyphens w:val="0"/>
        <w:spacing w:after="80"/>
        <w:ind w:left="792" w:right="432" w:hanging="432"/>
        <w:rPr>
          <w:rFonts w:cs="Arial"/>
          <w:i/>
          <w:color w:val="000000"/>
          <w:spacing w:val="-11"/>
          <w:sz w:val="21"/>
          <w:szCs w:val="21"/>
        </w:rPr>
      </w:pPr>
      <w:r w:rsidRPr="004F64EE">
        <w:rPr>
          <w:rFonts w:cs="Arial"/>
          <w:i/>
          <w:color w:val="000000"/>
          <w:spacing w:val="-11"/>
          <w:sz w:val="21"/>
          <w:szCs w:val="21"/>
        </w:rPr>
        <w:t>Rather than independent directors, we need directors who are dependent on, and accountable to, the shareholders who elect them.</w:t>
      </w:r>
    </w:p>
    <w:p w14:paraId="23AB3EE9" w14:textId="77777777" w:rsidR="00774683" w:rsidRPr="004F64EE" w:rsidRDefault="00774683" w:rsidP="004F64EE">
      <w:pPr>
        <w:numPr>
          <w:ilvl w:val="0"/>
          <w:numId w:val="26"/>
        </w:numPr>
        <w:tabs>
          <w:tab w:val="clear" w:pos="432"/>
          <w:tab w:val="decimal" w:pos="792"/>
        </w:tabs>
        <w:suppressAutoHyphens w:val="0"/>
        <w:spacing w:after="80"/>
        <w:ind w:left="792" w:right="144" w:hanging="432"/>
        <w:rPr>
          <w:rFonts w:cs="Arial"/>
          <w:i/>
          <w:color w:val="000000"/>
          <w:spacing w:val="-11"/>
          <w:sz w:val="21"/>
          <w:szCs w:val="21"/>
        </w:rPr>
      </w:pPr>
      <w:r w:rsidRPr="004F64EE">
        <w:rPr>
          <w:rFonts w:cs="Arial"/>
          <w:i/>
          <w:color w:val="000000"/>
          <w:spacing w:val="-11"/>
          <w:sz w:val="21"/>
          <w:szCs w:val="21"/>
        </w:rPr>
        <w:t>CFA Institute's Proxy Access in the United States: Revisiting the Proposed SEC Rule (download at</w:t>
      </w:r>
      <w:r w:rsidRPr="00B23286">
        <w:rPr>
          <w:rFonts w:cs="Arial"/>
          <w:i/>
          <w:color w:val="000000"/>
          <w:spacing w:val="-4"/>
          <w:sz w:val="22"/>
          <w:szCs w:val="22"/>
        </w:rPr>
        <w:t xml:space="preserve"> </w:t>
      </w:r>
      <w:hyperlink r:id="rId10">
        <w:r w:rsidRPr="004F64EE">
          <w:rPr>
            <w:rFonts w:cs="Arial"/>
            <w:i/>
            <w:color w:val="000000"/>
            <w:spacing w:val="-11"/>
            <w:sz w:val="21"/>
            <w:szCs w:val="21"/>
          </w:rPr>
          <w:t>http://www.cfapubs.org/doi/pdf/10.2469/ccb.v2014.n9.1)</w:t>
        </w:r>
      </w:hyperlink>
      <w:r w:rsidRPr="004F64EE">
        <w:rPr>
          <w:rFonts w:cs="Arial"/>
          <w:i/>
          <w:color w:val="000000"/>
          <w:spacing w:val="-11"/>
          <w:sz w:val="21"/>
          <w:szCs w:val="21"/>
        </w:rPr>
        <w:t xml:space="preserve"> found:</w:t>
      </w:r>
    </w:p>
    <w:p w14:paraId="23AB3EEA" w14:textId="77777777" w:rsidR="00774683" w:rsidRPr="004F64EE" w:rsidRDefault="00774683" w:rsidP="004F64EE">
      <w:pPr>
        <w:tabs>
          <w:tab w:val="decimal" w:pos="432"/>
          <w:tab w:val="decimal" w:pos="990"/>
        </w:tabs>
        <w:suppressAutoHyphens w:val="0"/>
        <w:spacing w:after="80"/>
        <w:ind w:left="1440" w:hanging="446"/>
        <w:rPr>
          <w:rFonts w:cs="Arial"/>
          <w:i/>
          <w:color w:val="000000"/>
          <w:spacing w:val="-11"/>
          <w:sz w:val="21"/>
          <w:szCs w:val="21"/>
        </w:rPr>
      </w:pPr>
      <w:r w:rsidRPr="00B23286">
        <w:rPr>
          <w:rFonts w:cs="Arial"/>
          <w:i/>
          <w:color w:val="000000"/>
          <w:spacing w:val="-10"/>
          <w:sz w:val="22"/>
          <w:szCs w:val="22"/>
        </w:rPr>
        <w:t>(</w:t>
      </w:r>
      <w:r w:rsidRPr="004F64EE">
        <w:rPr>
          <w:rFonts w:cs="Arial"/>
          <w:i/>
          <w:color w:val="000000"/>
          <w:spacing w:val="-11"/>
          <w:sz w:val="21"/>
          <w:szCs w:val="21"/>
        </w:rPr>
        <w:t>a) "proxy access has the potential to enhance board performance and raise overall US market capitalization by between $3.5 billion and $140.3 billion"</w:t>
      </w:r>
    </w:p>
    <w:p w14:paraId="23AB3EEB" w14:textId="77777777" w:rsidR="00774683" w:rsidRPr="004F64EE" w:rsidRDefault="00774683" w:rsidP="004F64EE">
      <w:pPr>
        <w:tabs>
          <w:tab w:val="decimal" w:pos="432"/>
          <w:tab w:val="decimal" w:pos="990"/>
        </w:tabs>
        <w:suppressAutoHyphens w:val="0"/>
        <w:spacing w:after="80"/>
        <w:ind w:left="1440" w:hanging="446"/>
        <w:rPr>
          <w:rFonts w:cs="Arial"/>
          <w:i/>
          <w:color w:val="000000"/>
          <w:spacing w:val="-10"/>
          <w:sz w:val="22"/>
          <w:szCs w:val="22"/>
        </w:rPr>
      </w:pPr>
      <w:r w:rsidRPr="004F64EE">
        <w:rPr>
          <w:rFonts w:cs="Arial"/>
          <w:i/>
          <w:color w:val="000000"/>
          <w:spacing w:val="-10"/>
          <w:sz w:val="22"/>
          <w:szCs w:val="22"/>
        </w:rPr>
        <w:t xml:space="preserve">(b) "none of the event studies indicate that proxy access reform will hinder </w:t>
      </w:r>
      <w:r w:rsidRPr="00B23286">
        <w:rPr>
          <w:rFonts w:cs="Arial"/>
          <w:i/>
          <w:color w:val="000000"/>
          <w:spacing w:val="-10"/>
          <w:sz w:val="22"/>
          <w:szCs w:val="22"/>
        </w:rPr>
        <w:t>board performance."</w:t>
      </w:r>
    </w:p>
    <w:p w14:paraId="23AB3EEC" w14:textId="77777777" w:rsidR="00774683" w:rsidRPr="004F64EE" w:rsidRDefault="00774683" w:rsidP="004F64EE">
      <w:pPr>
        <w:tabs>
          <w:tab w:val="decimal" w:pos="432"/>
          <w:tab w:val="decimal" w:pos="990"/>
        </w:tabs>
        <w:suppressAutoHyphens w:val="0"/>
        <w:spacing w:after="80"/>
        <w:ind w:left="1440" w:hanging="446"/>
        <w:rPr>
          <w:rFonts w:cs="Arial"/>
          <w:i/>
          <w:color w:val="000000"/>
          <w:spacing w:val="-10"/>
          <w:sz w:val="22"/>
          <w:szCs w:val="22"/>
        </w:rPr>
      </w:pPr>
      <w:r w:rsidRPr="004F64EE">
        <w:rPr>
          <w:rFonts w:cs="Arial"/>
          <w:i/>
          <w:color w:val="000000"/>
          <w:spacing w:val="-10"/>
          <w:sz w:val="22"/>
          <w:szCs w:val="22"/>
        </w:rPr>
        <w:t>(c) "proxy access would serve as a useful tool for shareowners in the United States and would ultimately benefit both the markets and corporate boardrooms."</w:t>
      </w:r>
    </w:p>
    <w:p w14:paraId="23AB3EED" w14:textId="77777777" w:rsidR="00774683" w:rsidRPr="004F64EE" w:rsidRDefault="00774683" w:rsidP="00774683">
      <w:pPr>
        <w:spacing w:before="216"/>
        <w:ind w:right="936"/>
        <w:rPr>
          <w:rFonts w:cs="Arial"/>
          <w:i/>
          <w:color w:val="000000"/>
          <w:spacing w:val="-12"/>
          <w:sz w:val="21"/>
          <w:szCs w:val="21"/>
        </w:rPr>
      </w:pPr>
      <w:r w:rsidRPr="004F64EE">
        <w:rPr>
          <w:rFonts w:cs="Arial"/>
          <w:i/>
          <w:color w:val="000000"/>
          <w:spacing w:val="-12"/>
          <w:sz w:val="21"/>
          <w:szCs w:val="21"/>
        </w:rPr>
        <w:t xml:space="preserve">The Council of Institutional Investors, whose members have $3 trillion invested, </w:t>
      </w:r>
      <w:r w:rsidRPr="004F64EE">
        <w:rPr>
          <w:rFonts w:cs="Arial"/>
          <w:i/>
          <w:color w:val="000000"/>
          <w:spacing w:val="-10"/>
          <w:sz w:val="21"/>
          <w:szCs w:val="21"/>
        </w:rPr>
        <w:t>maintains the following policy:</w:t>
      </w:r>
    </w:p>
    <w:p w14:paraId="23AB3EEE" w14:textId="77777777" w:rsidR="00774683" w:rsidRPr="004F64EE" w:rsidRDefault="00774683" w:rsidP="004F64EE">
      <w:pPr>
        <w:spacing w:before="288"/>
        <w:ind w:left="720"/>
        <w:rPr>
          <w:rFonts w:cs="Arial"/>
          <w:i/>
          <w:color w:val="000000"/>
          <w:spacing w:val="-8"/>
          <w:sz w:val="21"/>
          <w:szCs w:val="21"/>
        </w:rPr>
      </w:pPr>
      <w:r w:rsidRPr="004F64EE">
        <w:rPr>
          <w:rFonts w:cs="Arial"/>
          <w:i/>
          <w:color w:val="000000"/>
          <w:spacing w:val="-8"/>
          <w:sz w:val="21"/>
          <w:szCs w:val="21"/>
        </w:rPr>
        <w:t>Access to the Proxy: Companies should provide access to management proxy</w:t>
      </w:r>
      <w:r w:rsidR="00E00C00" w:rsidRPr="004F64EE">
        <w:rPr>
          <w:rFonts w:cs="Arial"/>
          <w:i/>
          <w:color w:val="000000"/>
          <w:spacing w:val="-8"/>
          <w:sz w:val="21"/>
          <w:szCs w:val="21"/>
        </w:rPr>
        <w:t xml:space="preserve"> </w:t>
      </w:r>
      <w:r w:rsidRPr="004F64EE">
        <w:rPr>
          <w:rFonts w:cs="Arial"/>
          <w:i/>
          <w:color w:val="000000"/>
          <w:spacing w:val="-8"/>
          <w:sz w:val="21"/>
          <w:szCs w:val="21"/>
        </w:rPr>
        <w:t xml:space="preserve">materials for a long-term investor or group of long-term investors owning in </w:t>
      </w:r>
      <w:r w:rsidRPr="004F64EE">
        <w:rPr>
          <w:rFonts w:cs="Arial"/>
          <w:i/>
          <w:color w:val="000000"/>
          <w:spacing w:val="-7"/>
          <w:sz w:val="21"/>
          <w:szCs w:val="21"/>
        </w:rPr>
        <w:t xml:space="preserve">aggregate at least three percent of a company's voting stock, to nominate less </w:t>
      </w:r>
      <w:r w:rsidRPr="004F64EE">
        <w:rPr>
          <w:rFonts w:cs="Arial"/>
          <w:i/>
          <w:color w:val="000000"/>
          <w:spacing w:val="-8"/>
          <w:sz w:val="21"/>
          <w:szCs w:val="21"/>
        </w:rPr>
        <w:t xml:space="preserve">than a majority of the directors. Eligible investors must have owned the stock for </w:t>
      </w:r>
      <w:r w:rsidRPr="004F64EE">
        <w:rPr>
          <w:rFonts w:cs="Arial"/>
          <w:i/>
          <w:color w:val="000000"/>
          <w:spacing w:val="-11"/>
          <w:sz w:val="21"/>
          <w:szCs w:val="21"/>
        </w:rPr>
        <w:t xml:space="preserve">at least two years. Company proxy materials and related mailings should provide </w:t>
      </w:r>
      <w:r w:rsidRPr="004F64EE">
        <w:rPr>
          <w:rFonts w:cs="Arial"/>
          <w:i/>
          <w:color w:val="000000"/>
          <w:spacing w:val="-9"/>
          <w:sz w:val="21"/>
          <w:szCs w:val="21"/>
        </w:rPr>
        <w:t>equal space and equal treatment of nominations by qualifying investors</w:t>
      </w:r>
      <w:r w:rsidRPr="00B23286">
        <w:rPr>
          <w:rFonts w:cs="Arial"/>
          <w:i/>
          <w:color w:val="000000"/>
          <w:spacing w:val="-9"/>
          <w:sz w:val="22"/>
          <w:szCs w:val="22"/>
        </w:rPr>
        <w:t>.</w:t>
      </w:r>
      <w:r w:rsidR="00B9501A">
        <w:rPr>
          <w:rFonts w:cs="Arial"/>
          <w:i/>
          <w:color w:val="000000"/>
          <w:spacing w:val="-9"/>
          <w:sz w:val="22"/>
          <w:szCs w:val="22"/>
        </w:rPr>
        <w:br/>
      </w:r>
      <w:r w:rsidR="005860ED">
        <w:rPr>
          <w:rFonts w:cs="Arial"/>
          <w:i/>
          <w:color w:val="000000"/>
          <w:spacing w:val="-8"/>
          <w:sz w:val="21"/>
          <w:szCs w:val="21"/>
        </w:rPr>
        <w:br/>
      </w:r>
      <w:r w:rsidRPr="004F64EE">
        <w:rPr>
          <w:rFonts w:cs="Arial"/>
          <w:i/>
          <w:color w:val="000000"/>
          <w:spacing w:val="-8"/>
          <w:sz w:val="21"/>
          <w:szCs w:val="21"/>
        </w:rPr>
        <w:t>Vo</w:t>
      </w:r>
      <w:r w:rsidR="00244BFC" w:rsidRPr="004F64EE">
        <w:rPr>
          <w:rFonts w:cs="Arial"/>
          <w:i/>
          <w:color w:val="000000"/>
          <w:spacing w:val="-8"/>
          <w:sz w:val="21"/>
          <w:szCs w:val="21"/>
        </w:rPr>
        <w:t>te to enhance shareholder value</w:t>
      </w:r>
    </w:p>
    <w:p w14:paraId="23AB3EEF" w14:textId="77777777" w:rsidR="00351869" w:rsidRDefault="00351869" w:rsidP="00244BFC">
      <w:pPr>
        <w:suppressAutoHyphens w:val="0"/>
        <w:spacing w:before="100" w:beforeAutospacing="1" w:after="100" w:afterAutospacing="1"/>
        <w:rPr>
          <w:rFonts w:cs="Arial"/>
          <w:b/>
          <w:sz w:val="22"/>
          <w:szCs w:val="22"/>
          <w:lang w:eastAsia="en-US"/>
        </w:rPr>
      </w:pPr>
    </w:p>
    <w:p w14:paraId="23AB3EF0" w14:textId="77777777" w:rsidR="00244BFC" w:rsidRPr="00B23286" w:rsidRDefault="00244BFC" w:rsidP="00244BFC">
      <w:pPr>
        <w:suppressAutoHyphens w:val="0"/>
        <w:spacing w:before="100" w:beforeAutospacing="1" w:after="100" w:afterAutospacing="1"/>
        <w:rPr>
          <w:rFonts w:cs="Arial"/>
          <w:b/>
          <w:sz w:val="22"/>
          <w:szCs w:val="22"/>
          <w:lang w:eastAsia="en-US"/>
        </w:rPr>
      </w:pPr>
      <w:r w:rsidRPr="00B23286">
        <w:rPr>
          <w:rFonts w:cs="Arial"/>
          <w:b/>
          <w:sz w:val="22"/>
          <w:szCs w:val="22"/>
          <w:lang w:eastAsia="en-US"/>
        </w:rPr>
        <w:t xml:space="preserve">COMPANY STATEMENT IN OPPOSITION </w:t>
      </w:r>
    </w:p>
    <w:p w14:paraId="23AB3EF1" w14:textId="77777777" w:rsidR="00244BFC" w:rsidRPr="004F64EE" w:rsidRDefault="006F31D2" w:rsidP="00B23286">
      <w:pPr>
        <w:suppressAutoHyphens w:val="0"/>
        <w:spacing w:before="100" w:beforeAutospacing="1" w:after="100" w:afterAutospacing="1"/>
        <w:ind w:firstLine="720"/>
        <w:rPr>
          <w:rFonts w:cs="Arial"/>
          <w:color w:val="000000"/>
          <w:spacing w:val="-8"/>
          <w:sz w:val="21"/>
          <w:szCs w:val="21"/>
        </w:rPr>
      </w:pPr>
      <w:r w:rsidRPr="004F64EE">
        <w:rPr>
          <w:rFonts w:cs="Arial"/>
          <w:color w:val="000000"/>
          <w:spacing w:val="-8"/>
          <w:sz w:val="21"/>
          <w:szCs w:val="21"/>
        </w:rPr>
        <w:t xml:space="preserve">The Board has carefully considered this proposal and, for the reasons set forth below, does not believe that it is in the best interests of the Company </w:t>
      </w:r>
      <w:r w:rsidR="0058255D" w:rsidRPr="004F64EE">
        <w:rPr>
          <w:rFonts w:cs="Arial"/>
          <w:color w:val="000000"/>
          <w:spacing w:val="-8"/>
          <w:sz w:val="21"/>
          <w:szCs w:val="21"/>
        </w:rPr>
        <w:t>or</w:t>
      </w:r>
      <w:r w:rsidRPr="004F64EE">
        <w:rPr>
          <w:rFonts w:cs="Arial"/>
          <w:color w:val="000000"/>
          <w:spacing w:val="-8"/>
          <w:sz w:val="21"/>
          <w:szCs w:val="21"/>
        </w:rPr>
        <w:t xml:space="preserve"> its stockholders. </w:t>
      </w:r>
      <w:r w:rsidR="00160F09" w:rsidRPr="004F64EE">
        <w:rPr>
          <w:rFonts w:cs="Arial"/>
          <w:color w:val="000000"/>
          <w:spacing w:val="-8"/>
          <w:sz w:val="21"/>
          <w:szCs w:val="21"/>
        </w:rPr>
        <w:t>The Company</w:t>
      </w:r>
      <w:r w:rsidR="00244BFC" w:rsidRPr="004F64EE">
        <w:rPr>
          <w:rFonts w:cs="Arial"/>
          <w:color w:val="000000"/>
          <w:spacing w:val="-8"/>
          <w:sz w:val="21"/>
          <w:szCs w:val="21"/>
        </w:rPr>
        <w:t>’s Board is committed to strong corporate governance practices and an appropriate balance of shareholder rights. The Board recognizes</w:t>
      </w:r>
      <w:r w:rsidR="00163FA3" w:rsidRPr="004F64EE">
        <w:rPr>
          <w:rFonts w:cs="Arial"/>
          <w:color w:val="000000"/>
          <w:spacing w:val="-8"/>
          <w:sz w:val="21"/>
          <w:szCs w:val="21"/>
        </w:rPr>
        <w:t xml:space="preserve"> that</w:t>
      </w:r>
      <w:r w:rsidR="00244BFC" w:rsidRPr="004F64EE">
        <w:rPr>
          <w:rFonts w:cs="Arial"/>
          <w:color w:val="000000"/>
          <w:spacing w:val="-8"/>
          <w:sz w:val="21"/>
          <w:szCs w:val="21"/>
        </w:rPr>
        <w:t xml:space="preserve"> proxy access is a topic of growing interest to investors and continues to evaluate it. However, the Board believes this proposal is fundamentally flawed</w:t>
      </w:r>
      <w:r w:rsidR="00163FA3" w:rsidRPr="004F64EE">
        <w:rPr>
          <w:rFonts w:cs="Arial"/>
          <w:color w:val="000000"/>
          <w:spacing w:val="-8"/>
          <w:sz w:val="21"/>
          <w:szCs w:val="21"/>
        </w:rPr>
        <w:t>, lacks safeguards against short-term abuse,</w:t>
      </w:r>
      <w:r w:rsidR="00244BFC" w:rsidRPr="004F64EE">
        <w:rPr>
          <w:rFonts w:cs="Arial"/>
          <w:color w:val="000000"/>
          <w:spacing w:val="-8"/>
          <w:sz w:val="21"/>
          <w:szCs w:val="21"/>
        </w:rPr>
        <w:t xml:space="preserve"> and is not in the best interest of </w:t>
      </w:r>
      <w:r w:rsidR="009A1B0A" w:rsidRPr="004F64EE">
        <w:rPr>
          <w:rFonts w:cs="Arial"/>
          <w:color w:val="000000"/>
          <w:spacing w:val="-8"/>
          <w:sz w:val="21"/>
          <w:szCs w:val="21"/>
        </w:rPr>
        <w:t xml:space="preserve">the Company’s </w:t>
      </w:r>
      <w:r w:rsidR="00244BFC" w:rsidRPr="004F64EE">
        <w:rPr>
          <w:rFonts w:cs="Arial"/>
          <w:color w:val="000000"/>
          <w:spacing w:val="-8"/>
          <w:sz w:val="21"/>
          <w:szCs w:val="21"/>
        </w:rPr>
        <w:t>s</w:t>
      </w:r>
      <w:r w:rsidR="009A1B0A" w:rsidRPr="004F64EE">
        <w:rPr>
          <w:rFonts w:cs="Arial"/>
          <w:color w:val="000000"/>
          <w:spacing w:val="-8"/>
          <w:sz w:val="21"/>
          <w:szCs w:val="21"/>
        </w:rPr>
        <w:t>tock</w:t>
      </w:r>
      <w:r w:rsidR="00244BFC" w:rsidRPr="004F64EE">
        <w:rPr>
          <w:rFonts w:cs="Arial"/>
          <w:color w:val="000000"/>
          <w:spacing w:val="-8"/>
          <w:sz w:val="21"/>
          <w:szCs w:val="21"/>
        </w:rPr>
        <w:t xml:space="preserve">holders. </w:t>
      </w:r>
      <w:r w:rsidR="009A1B0A" w:rsidRPr="004F64EE">
        <w:rPr>
          <w:rFonts w:cs="Arial"/>
          <w:color w:val="000000"/>
          <w:spacing w:val="-8"/>
          <w:sz w:val="21"/>
          <w:szCs w:val="21"/>
        </w:rPr>
        <w:t xml:space="preserve">Some of the reasons for the Board’s opinion are set forth below. </w:t>
      </w:r>
      <w:r w:rsidR="00244BFC" w:rsidRPr="004F64EE">
        <w:rPr>
          <w:rFonts w:cs="Arial"/>
          <w:color w:val="000000"/>
          <w:spacing w:val="-8"/>
          <w:sz w:val="21"/>
          <w:szCs w:val="21"/>
        </w:rPr>
        <w:t xml:space="preserve">Given </w:t>
      </w:r>
      <w:r w:rsidR="00160F09" w:rsidRPr="004F64EE">
        <w:rPr>
          <w:rFonts w:cs="Arial"/>
          <w:color w:val="000000"/>
          <w:spacing w:val="-8"/>
          <w:sz w:val="21"/>
          <w:szCs w:val="21"/>
        </w:rPr>
        <w:t>the Company</w:t>
      </w:r>
      <w:r w:rsidR="00244BFC" w:rsidRPr="004F64EE">
        <w:rPr>
          <w:rFonts w:cs="Arial"/>
          <w:color w:val="000000"/>
          <w:spacing w:val="-8"/>
          <w:sz w:val="21"/>
          <w:szCs w:val="21"/>
        </w:rPr>
        <w:t>’s</w:t>
      </w:r>
      <w:r w:rsidR="002F4261" w:rsidRPr="004F64EE">
        <w:rPr>
          <w:rFonts w:cs="Arial"/>
          <w:color w:val="000000"/>
          <w:spacing w:val="-8"/>
          <w:sz w:val="21"/>
          <w:szCs w:val="21"/>
        </w:rPr>
        <w:t xml:space="preserve"> long history of</w:t>
      </w:r>
      <w:r w:rsidR="00244BFC" w:rsidRPr="004F64EE">
        <w:rPr>
          <w:rFonts w:cs="Arial"/>
          <w:color w:val="000000"/>
          <w:spacing w:val="-8"/>
          <w:sz w:val="21"/>
          <w:szCs w:val="21"/>
        </w:rPr>
        <w:t xml:space="preserve"> good governance pract</w:t>
      </w:r>
      <w:r w:rsidR="002F4261" w:rsidRPr="004F64EE">
        <w:rPr>
          <w:rFonts w:cs="Arial"/>
          <w:color w:val="000000"/>
          <w:spacing w:val="-8"/>
          <w:sz w:val="21"/>
          <w:szCs w:val="21"/>
        </w:rPr>
        <w:t>ices</w:t>
      </w:r>
      <w:r w:rsidR="00244BFC" w:rsidRPr="004F64EE">
        <w:rPr>
          <w:rFonts w:cs="Arial"/>
          <w:color w:val="000000"/>
          <w:spacing w:val="-8"/>
          <w:sz w:val="21"/>
          <w:szCs w:val="21"/>
        </w:rPr>
        <w:t xml:space="preserve">, the Board does not believe that adoption of this proxy access proposal is the right approach for </w:t>
      </w:r>
      <w:r w:rsidR="00160F09" w:rsidRPr="004F64EE">
        <w:rPr>
          <w:rFonts w:cs="Arial"/>
          <w:color w:val="000000"/>
          <w:spacing w:val="-8"/>
          <w:sz w:val="21"/>
          <w:szCs w:val="21"/>
        </w:rPr>
        <w:t>the Company</w:t>
      </w:r>
      <w:r w:rsidR="00244BFC" w:rsidRPr="004F64EE">
        <w:rPr>
          <w:rFonts w:cs="Arial"/>
          <w:color w:val="000000"/>
          <w:spacing w:val="-8"/>
          <w:sz w:val="21"/>
          <w:szCs w:val="21"/>
        </w:rPr>
        <w:t xml:space="preserve"> or our shareholders. </w:t>
      </w:r>
      <w:r w:rsidR="002F4261" w:rsidRPr="004F64EE">
        <w:rPr>
          <w:rFonts w:cs="Arial"/>
          <w:color w:val="000000"/>
          <w:spacing w:val="-8"/>
          <w:sz w:val="21"/>
          <w:szCs w:val="21"/>
        </w:rPr>
        <w:t>For that reason t</w:t>
      </w:r>
      <w:r w:rsidR="00244BFC" w:rsidRPr="004F64EE">
        <w:rPr>
          <w:rFonts w:cs="Arial"/>
          <w:color w:val="000000"/>
          <w:spacing w:val="-8"/>
          <w:sz w:val="21"/>
          <w:szCs w:val="21"/>
        </w:rPr>
        <w:t xml:space="preserve">he Board recommends a vote AGAINST this proposal. </w:t>
      </w:r>
    </w:p>
    <w:p w14:paraId="23AB3EF2" w14:textId="77777777" w:rsidR="00244BFC" w:rsidRPr="004F64EE" w:rsidRDefault="00244BFC" w:rsidP="00B23286">
      <w:pPr>
        <w:suppressAutoHyphens w:val="0"/>
        <w:spacing w:before="100" w:beforeAutospacing="1" w:after="100" w:afterAutospacing="1"/>
        <w:ind w:firstLine="720"/>
        <w:rPr>
          <w:rFonts w:cs="Arial"/>
          <w:color w:val="000000"/>
          <w:spacing w:val="-8"/>
          <w:sz w:val="21"/>
          <w:szCs w:val="21"/>
        </w:rPr>
      </w:pPr>
      <w:r w:rsidRPr="004F64EE">
        <w:rPr>
          <w:rFonts w:cs="Arial"/>
          <w:color w:val="000000"/>
          <w:spacing w:val="-8"/>
          <w:sz w:val="21"/>
          <w:szCs w:val="21"/>
        </w:rPr>
        <w:t>Several aspects of this proposal introduce significant risk of disruption to the Company and lack safeguards to ensure pr</w:t>
      </w:r>
      <w:r w:rsidR="002F4261" w:rsidRPr="004F64EE">
        <w:rPr>
          <w:rFonts w:cs="Arial"/>
          <w:color w:val="000000"/>
          <w:spacing w:val="-8"/>
          <w:sz w:val="21"/>
          <w:szCs w:val="21"/>
        </w:rPr>
        <w:t>oxy access would not be abused:</w:t>
      </w:r>
    </w:p>
    <w:p w14:paraId="23AB3EF3" w14:textId="77777777" w:rsidR="00244BFC" w:rsidRPr="00FE51C0" w:rsidRDefault="00244BFC" w:rsidP="00B23286">
      <w:pPr>
        <w:pStyle w:val="ListParagraph"/>
        <w:numPr>
          <w:ilvl w:val="0"/>
          <w:numId w:val="27"/>
        </w:numPr>
        <w:suppressAutoHyphens w:val="0"/>
        <w:spacing w:before="100" w:beforeAutospacing="1" w:after="100" w:afterAutospacing="1"/>
        <w:ind w:left="720"/>
        <w:rPr>
          <w:rFonts w:cs="Arial"/>
          <w:sz w:val="22"/>
          <w:szCs w:val="22"/>
          <w:lang w:eastAsia="en-US"/>
        </w:rPr>
      </w:pPr>
      <w:r w:rsidRPr="004F64EE">
        <w:rPr>
          <w:rFonts w:cs="Arial"/>
          <w:color w:val="000000"/>
          <w:spacing w:val="-8"/>
          <w:sz w:val="21"/>
          <w:szCs w:val="21"/>
        </w:rPr>
        <w:t xml:space="preserve">The proposal permits an excessive number of shareholder-proposed candidates, up to </w:t>
      </w:r>
      <w:r w:rsidR="000A7FCF" w:rsidRPr="004F64EE">
        <w:rPr>
          <w:rFonts w:cs="Arial"/>
          <w:color w:val="000000"/>
          <w:spacing w:val="-8"/>
          <w:sz w:val="21"/>
          <w:szCs w:val="21"/>
        </w:rPr>
        <w:t>25</w:t>
      </w:r>
      <w:r w:rsidRPr="004F64EE">
        <w:rPr>
          <w:rFonts w:cs="Arial"/>
          <w:color w:val="000000"/>
          <w:spacing w:val="-8"/>
          <w:sz w:val="21"/>
          <w:szCs w:val="21"/>
        </w:rPr>
        <w:t xml:space="preserve">% of the Board every year. This percentage exceeds the 20% collective maximum typical in </w:t>
      </w:r>
      <w:r w:rsidR="000A7FCF" w:rsidRPr="004F64EE">
        <w:rPr>
          <w:rFonts w:cs="Arial"/>
          <w:color w:val="000000"/>
          <w:spacing w:val="-8"/>
          <w:sz w:val="21"/>
          <w:szCs w:val="21"/>
        </w:rPr>
        <w:t xml:space="preserve">many </w:t>
      </w:r>
      <w:r w:rsidRPr="004F64EE">
        <w:rPr>
          <w:rFonts w:cs="Arial"/>
          <w:color w:val="000000"/>
          <w:spacing w:val="-8"/>
          <w:sz w:val="21"/>
          <w:szCs w:val="21"/>
        </w:rPr>
        <w:t>other s</w:t>
      </w:r>
      <w:r w:rsidR="009A1B0A" w:rsidRPr="004F64EE">
        <w:rPr>
          <w:rFonts w:cs="Arial"/>
          <w:color w:val="000000"/>
          <w:spacing w:val="-8"/>
          <w:sz w:val="21"/>
          <w:szCs w:val="21"/>
        </w:rPr>
        <w:t>tock</w:t>
      </w:r>
      <w:r w:rsidRPr="004F64EE">
        <w:rPr>
          <w:rFonts w:cs="Arial"/>
          <w:color w:val="000000"/>
          <w:spacing w:val="-8"/>
          <w:sz w:val="21"/>
          <w:szCs w:val="21"/>
        </w:rPr>
        <w:t>holder proxy access proposals</w:t>
      </w:r>
      <w:r w:rsidR="009A1B0A" w:rsidRPr="004F64EE">
        <w:rPr>
          <w:rFonts w:cs="Arial"/>
          <w:color w:val="000000"/>
          <w:spacing w:val="-8"/>
          <w:sz w:val="21"/>
          <w:szCs w:val="21"/>
        </w:rPr>
        <w:t xml:space="preserve"> (see proposals at Disney in 2014, Verizon in 2013, and Walgreen Co. in 2013)</w:t>
      </w:r>
      <w:r w:rsidR="0036413D">
        <w:rPr>
          <w:rFonts w:cs="Arial"/>
          <w:color w:val="000000"/>
          <w:spacing w:val="-8"/>
          <w:sz w:val="21"/>
          <w:szCs w:val="21"/>
        </w:rPr>
        <w:t xml:space="preserve">. It is </w:t>
      </w:r>
      <w:r w:rsidR="000A7FCF" w:rsidRPr="004F64EE">
        <w:rPr>
          <w:rFonts w:cs="Arial"/>
          <w:color w:val="000000"/>
          <w:spacing w:val="-8"/>
          <w:sz w:val="21"/>
          <w:szCs w:val="21"/>
        </w:rPr>
        <w:t xml:space="preserve">also is not practical for our company, which currently has </w:t>
      </w:r>
      <w:r w:rsidR="00B50D19" w:rsidRPr="004F64EE">
        <w:rPr>
          <w:rFonts w:cs="Arial"/>
          <w:color w:val="000000"/>
          <w:spacing w:val="-8"/>
          <w:sz w:val="21"/>
          <w:szCs w:val="21"/>
        </w:rPr>
        <w:t xml:space="preserve">only </w:t>
      </w:r>
      <w:r w:rsidR="004225A2">
        <w:rPr>
          <w:rFonts w:cs="Arial"/>
          <w:color w:val="000000"/>
          <w:spacing w:val="-8"/>
          <w:sz w:val="21"/>
          <w:szCs w:val="21"/>
        </w:rPr>
        <w:tab/>
      </w:r>
      <w:r w:rsidR="000A7FCF" w:rsidRPr="004F64EE">
        <w:rPr>
          <w:rFonts w:cs="Arial"/>
          <w:color w:val="000000"/>
          <w:spacing w:val="-8"/>
          <w:sz w:val="21"/>
          <w:szCs w:val="21"/>
        </w:rPr>
        <w:t xml:space="preserve">six directors. Replacing </w:t>
      </w:r>
      <w:r w:rsidR="009E1018">
        <w:rPr>
          <w:rFonts w:cs="Arial"/>
          <w:color w:val="000000"/>
          <w:spacing w:val="-8"/>
          <w:sz w:val="21"/>
          <w:szCs w:val="21"/>
        </w:rPr>
        <w:t xml:space="preserve">directors </w:t>
      </w:r>
      <w:r w:rsidR="0036413D">
        <w:rPr>
          <w:rFonts w:cs="Arial"/>
          <w:color w:val="000000"/>
          <w:spacing w:val="-8"/>
          <w:sz w:val="21"/>
          <w:szCs w:val="21"/>
        </w:rPr>
        <w:t xml:space="preserve">every year </w:t>
      </w:r>
      <w:r w:rsidRPr="004F64EE">
        <w:rPr>
          <w:rFonts w:cs="Arial"/>
          <w:color w:val="000000"/>
          <w:spacing w:val="-8"/>
          <w:sz w:val="21"/>
          <w:szCs w:val="21"/>
        </w:rPr>
        <w:t>could cause serious disruption to the Board’s oversight of management, strategy and risk</w:t>
      </w:r>
      <w:r w:rsidRPr="00FE51C0">
        <w:rPr>
          <w:rFonts w:cs="Arial"/>
          <w:sz w:val="22"/>
          <w:szCs w:val="22"/>
          <w:lang w:eastAsia="en-US"/>
        </w:rPr>
        <w:t xml:space="preserve">. </w:t>
      </w:r>
    </w:p>
    <w:p w14:paraId="23AB3EF4" w14:textId="77777777" w:rsidR="002F4261" w:rsidRPr="00FE51C0" w:rsidRDefault="002F4261" w:rsidP="00B23286">
      <w:pPr>
        <w:pStyle w:val="ListParagraph"/>
        <w:suppressAutoHyphens w:val="0"/>
        <w:spacing w:before="100" w:beforeAutospacing="1" w:after="100" w:afterAutospacing="1"/>
        <w:ind w:hanging="360"/>
        <w:rPr>
          <w:rFonts w:cs="Arial"/>
          <w:sz w:val="22"/>
          <w:szCs w:val="22"/>
          <w:lang w:eastAsia="en-US"/>
        </w:rPr>
      </w:pPr>
    </w:p>
    <w:p w14:paraId="23AB3EF5" w14:textId="77777777" w:rsidR="000A7FCF" w:rsidRPr="00FE51C0" w:rsidRDefault="00244BFC" w:rsidP="00B23286">
      <w:pPr>
        <w:pStyle w:val="ListParagraph"/>
        <w:numPr>
          <w:ilvl w:val="0"/>
          <w:numId w:val="27"/>
        </w:numPr>
        <w:suppressAutoHyphens w:val="0"/>
        <w:spacing w:before="100" w:beforeAutospacing="1" w:after="100" w:afterAutospacing="1"/>
        <w:ind w:left="720"/>
        <w:rPr>
          <w:rFonts w:cs="Arial"/>
          <w:sz w:val="22"/>
          <w:szCs w:val="22"/>
          <w:lang w:eastAsia="en-US"/>
        </w:rPr>
      </w:pPr>
      <w:r w:rsidRPr="004F64EE">
        <w:rPr>
          <w:rFonts w:cs="Arial"/>
          <w:color w:val="000000"/>
          <w:spacing w:val="-8"/>
          <w:sz w:val="21"/>
          <w:szCs w:val="21"/>
        </w:rPr>
        <w:t xml:space="preserve">Providing access to </w:t>
      </w:r>
      <w:r w:rsidR="00160F09" w:rsidRPr="004F64EE">
        <w:rPr>
          <w:rFonts w:cs="Arial"/>
          <w:color w:val="000000"/>
          <w:spacing w:val="-8"/>
          <w:sz w:val="21"/>
          <w:szCs w:val="21"/>
        </w:rPr>
        <w:t>the Company</w:t>
      </w:r>
      <w:r w:rsidRPr="004F64EE">
        <w:rPr>
          <w:rFonts w:cs="Arial"/>
          <w:color w:val="000000"/>
          <w:spacing w:val="-8"/>
          <w:sz w:val="21"/>
          <w:szCs w:val="21"/>
        </w:rPr>
        <w:t xml:space="preserve">’s proxy statement as set forth in the </w:t>
      </w:r>
      <w:r w:rsidR="000A7FCF" w:rsidRPr="004F64EE">
        <w:rPr>
          <w:rFonts w:cs="Arial"/>
          <w:color w:val="000000"/>
          <w:spacing w:val="-8"/>
          <w:sz w:val="21"/>
          <w:szCs w:val="21"/>
        </w:rPr>
        <w:t>p</w:t>
      </w:r>
      <w:r w:rsidRPr="004F64EE">
        <w:rPr>
          <w:rFonts w:cs="Arial"/>
          <w:color w:val="000000"/>
          <w:spacing w:val="-8"/>
          <w:sz w:val="21"/>
          <w:szCs w:val="21"/>
        </w:rPr>
        <w:t xml:space="preserve">roposal will undermine the value of the thorough and rigorous selection and nomination process our Board already follows. The </w:t>
      </w:r>
      <w:r w:rsidR="000A7FCF" w:rsidRPr="004F64EE">
        <w:rPr>
          <w:rFonts w:cs="Arial"/>
          <w:color w:val="000000"/>
          <w:spacing w:val="-8"/>
          <w:sz w:val="21"/>
          <w:szCs w:val="21"/>
        </w:rPr>
        <w:t xml:space="preserve">current </w:t>
      </w:r>
      <w:r w:rsidRPr="004F64EE">
        <w:rPr>
          <w:rFonts w:cs="Arial"/>
          <w:color w:val="000000"/>
          <w:spacing w:val="-8"/>
          <w:sz w:val="21"/>
          <w:szCs w:val="21"/>
        </w:rPr>
        <w:t>Board</w:t>
      </w:r>
      <w:r w:rsidR="000A7FCF" w:rsidRPr="004F64EE">
        <w:rPr>
          <w:rFonts w:cs="Arial"/>
          <w:color w:val="000000"/>
          <w:spacing w:val="-8"/>
          <w:sz w:val="21"/>
          <w:szCs w:val="21"/>
        </w:rPr>
        <w:t xml:space="preserve"> members </w:t>
      </w:r>
      <w:r w:rsidRPr="004F64EE">
        <w:rPr>
          <w:rFonts w:cs="Arial"/>
          <w:color w:val="000000"/>
          <w:spacing w:val="-8"/>
          <w:sz w:val="21"/>
          <w:szCs w:val="21"/>
        </w:rPr>
        <w:t>are best situated to assess the particular qualifications of potential director nominees and determine whether they will contribute to an effective Board that addresses the evolving needs of the Company and represents the best interests of our s</w:t>
      </w:r>
      <w:r w:rsidR="009A1B0A" w:rsidRPr="004F64EE">
        <w:rPr>
          <w:rFonts w:cs="Arial"/>
          <w:color w:val="000000"/>
          <w:spacing w:val="-8"/>
          <w:sz w:val="21"/>
          <w:szCs w:val="21"/>
        </w:rPr>
        <w:t>tock</w:t>
      </w:r>
      <w:r w:rsidRPr="004F64EE">
        <w:rPr>
          <w:rFonts w:cs="Arial"/>
          <w:color w:val="000000"/>
          <w:spacing w:val="-8"/>
          <w:sz w:val="21"/>
          <w:szCs w:val="21"/>
        </w:rPr>
        <w:t>holders</w:t>
      </w:r>
      <w:r w:rsidRPr="00FE51C0">
        <w:rPr>
          <w:rFonts w:cs="Arial"/>
          <w:sz w:val="22"/>
          <w:szCs w:val="22"/>
          <w:lang w:eastAsia="en-US"/>
        </w:rPr>
        <w:t xml:space="preserve">. </w:t>
      </w:r>
    </w:p>
    <w:p w14:paraId="23AB3EF6" w14:textId="77777777" w:rsidR="002F4261" w:rsidRPr="00FE51C0" w:rsidRDefault="002F4261" w:rsidP="00B23286">
      <w:pPr>
        <w:pStyle w:val="ListParagraph"/>
        <w:suppressAutoHyphens w:val="0"/>
        <w:spacing w:before="100" w:beforeAutospacing="1" w:after="100" w:afterAutospacing="1"/>
        <w:ind w:hanging="360"/>
        <w:rPr>
          <w:rFonts w:cs="Arial"/>
          <w:sz w:val="22"/>
          <w:szCs w:val="22"/>
          <w:lang w:eastAsia="en-US"/>
        </w:rPr>
      </w:pPr>
    </w:p>
    <w:p w14:paraId="23AB3EF7" w14:textId="77777777" w:rsidR="00244BFC" w:rsidRPr="00FE51C0" w:rsidRDefault="00244BFC" w:rsidP="00B23286">
      <w:pPr>
        <w:pStyle w:val="ListParagraph"/>
        <w:numPr>
          <w:ilvl w:val="0"/>
          <w:numId w:val="27"/>
        </w:numPr>
        <w:suppressAutoHyphens w:val="0"/>
        <w:spacing w:before="100" w:beforeAutospacing="1" w:after="100" w:afterAutospacing="1"/>
        <w:ind w:left="720"/>
        <w:rPr>
          <w:rFonts w:cs="Arial"/>
          <w:sz w:val="22"/>
          <w:szCs w:val="22"/>
          <w:lang w:eastAsia="en-US"/>
        </w:rPr>
      </w:pPr>
      <w:r w:rsidRPr="004F64EE">
        <w:rPr>
          <w:rFonts w:cs="Arial"/>
          <w:color w:val="000000"/>
          <w:spacing w:val="-8"/>
          <w:sz w:val="21"/>
          <w:szCs w:val="21"/>
        </w:rPr>
        <w:t>S</w:t>
      </w:r>
      <w:r w:rsidR="009A1B0A" w:rsidRPr="004F64EE">
        <w:rPr>
          <w:rFonts w:cs="Arial"/>
          <w:color w:val="000000"/>
          <w:spacing w:val="-8"/>
          <w:sz w:val="21"/>
          <w:szCs w:val="21"/>
        </w:rPr>
        <w:t>tock</w:t>
      </w:r>
      <w:r w:rsidRPr="004F64EE">
        <w:rPr>
          <w:rFonts w:cs="Arial"/>
          <w:color w:val="000000"/>
          <w:spacing w:val="-8"/>
          <w:sz w:val="21"/>
          <w:szCs w:val="21"/>
        </w:rPr>
        <w:t xml:space="preserve">holders may already nominate one or more directors, whom the Board will evaluate under the same criteria it applies to its own candidates. In contrast, this proposal would allow individuals or small groups of </w:t>
      </w:r>
      <w:r w:rsidR="00D830FF" w:rsidRPr="004F64EE">
        <w:rPr>
          <w:rFonts w:cs="Arial"/>
          <w:color w:val="000000"/>
          <w:spacing w:val="-8"/>
          <w:sz w:val="21"/>
          <w:szCs w:val="21"/>
        </w:rPr>
        <w:t>stockholders</w:t>
      </w:r>
      <w:r w:rsidR="00D830FF" w:rsidRPr="004F64EE" w:rsidDel="00D830FF">
        <w:rPr>
          <w:rFonts w:cs="Arial"/>
          <w:color w:val="000000"/>
          <w:spacing w:val="-8"/>
          <w:sz w:val="21"/>
          <w:szCs w:val="21"/>
        </w:rPr>
        <w:t xml:space="preserve"> </w:t>
      </w:r>
      <w:r w:rsidRPr="004F64EE">
        <w:rPr>
          <w:rFonts w:cs="Arial"/>
          <w:color w:val="000000"/>
          <w:spacing w:val="-8"/>
          <w:sz w:val="21"/>
          <w:szCs w:val="21"/>
        </w:rPr>
        <w:t xml:space="preserve">who have no fiduciary duty and are not bound by the Company’s corporate governance policies and practices to nominate directors to advance their own agenda or narrow interests, without regard to the best interests of the Company. While shareholders would be free to reject such nominees, the cost and disruption of having to defend against narrow agenda-driven attacks </w:t>
      </w:r>
      <w:r w:rsidR="00163FA3" w:rsidRPr="004F64EE">
        <w:rPr>
          <w:rFonts w:cs="Arial"/>
          <w:color w:val="000000"/>
          <w:spacing w:val="-8"/>
          <w:sz w:val="21"/>
          <w:szCs w:val="21"/>
        </w:rPr>
        <w:t xml:space="preserve">could be significant, </w:t>
      </w:r>
      <w:r w:rsidRPr="004F64EE">
        <w:rPr>
          <w:rFonts w:cs="Arial"/>
          <w:color w:val="000000"/>
          <w:spacing w:val="-8"/>
          <w:sz w:val="21"/>
          <w:szCs w:val="21"/>
        </w:rPr>
        <w:t xml:space="preserve">and </w:t>
      </w:r>
      <w:r w:rsidR="00163FA3" w:rsidRPr="004F64EE">
        <w:rPr>
          <w:rFonts w:cs="Arial"/>
          <w:color w:val="000000"/>
          <w:spacing w:val="-8"/>
          <w:sz w:val="21"/>
          <w:szCs w:val="21"/>
        </w:rPr>
        <w:t xml:space="preserve">incurring those costs would </w:t>
      </w:r>
      <w:r w:rsidRPr="004F64EE">
        <w:rPr>
          <w:rFonts w:cs="Arial"/>
          <w:color w:val="000000"/>
          <w:spacing w:val="-8"/>
          <w:sz w:val="21"/>
          <w:szCs w:val="21"/>
        </w:rPr>
        <w:t xml:space="preserve">not </w:t>
      </w:r>
      <w:r w:rsidR="00163FA3" w:rsidRPr="004F64EE">
        <w:rPr>
          <w:rFonts w:cs="Arial"/>
          <w:color w:val="000000"/>
          <w:spacing w:val="-8"/>
          <w:sz w:val="21"/>
          <w:szCs w:val="21"/>
        </w:rPr>
        <w:t xml:space="preserve">be </w:t>
      </w:r>
      <w:r w:rsidRPr="004F64EE">
        <w:rPr>
          <w:rFonts w:cs="Arial"/>
          <w:color w:val="000000"/>
          <w:spacing w:val="-8"/>
          <w:sz w:val="21"/>
          <w:szCs w:val="21"/>
        </w:rPr>
        <w:t xml:space="preserve">in </w:t>
      </w:r>
      <w:r w:rsidR="00163FA3" w:rsidRPr="004F64EE">
        <w:rPr>
          <w:rFonts w:cs="Arial"/>
          <w:color w:val="000000"/>
          <w:spacing w:val="-8"/>
          <w:sz w:val="21"/>
          <w:szCs w:val="21"/>
        </w:rPr>
        <w:t xml:space="preserve">the best interests of the Company’s </w:t>
      </w:r>
      <w:r w:rsidR="00D830FF" w:rsidRPr="004F64EE">
        <w:rPr>
          <w:rFonts w:cs="Arial"/>
          <w:color w:val="000000"/>
          <w:spacing w:val="-8"/>
          <w:sz w:val="21"/>
          <w:szCs w:val="21"/>
        </w:rPr>
        <w:t>stockholders</w:t>
      </w:r>
      <w:r w:rsidR="00163FA3" w:rsidRPr="00FE51C0">
        <w:rPr>
          <w:rFonts w:cs="Arial"/>
          <w:sz w:val="22"/>
          <w:szCs w:val="22"/>
          <w:lang w:eastAsia="en-US"/>
        </w:rPr>
        <w:t>.</w:t>
      </w:r>
    </w:p>
    <w:p w14:paraId="23AB3EF8" w14:textId="77777777" w:rsidR="002F4261" w:rsidRPr="00FE51C0" w:rsidRDefault="002F4261" w:rsidP="00B23286">
      <w:pPr>
        <w:pStyle w:val="ListParagraph"/>
        <w:suppressAutoHyphens w:val="0"/>
        <w:spacing w:before="100" w:beforeAutospacing="1" w:after="100" w:afterAutospacing="1"/>
        <w:ind w:hanging="360"/>
        <w:rPr>
          <w:rFonts w:cs="Arial"/>
          <w:sz w:val="22"/>
          <w:szCs w:val="22"/>
          <w:lang w:eastAsia="en-US"/>
        </w:rPr>
      </w:pPr>
    </w:p>
    <w:p w14:paraId="23AB3EF9" w14:textId="77777777" w:rsidR="00244BFC" w:rsidRPr="00FE51C0" w:rsidRDefault="00244BFC" w:rsidP="00B23286">
      <w:pPr>
        <w:pStyle w:val="ListParagraph"/>
        <w:numPr>
          <w:ilvl w:val="0"/>
          <w:numId w:val="27"/>
        </w:numPr>
        <w:suppressAutoHyphens w:val="0"/>
        <w:spacing w:before="100" w:beforeAutospacing="1" w:after="100" w:afterAutospacing="1"/>
        <w:ind w:left="720"/>
        <w:rPr>
          <w:rFonts w:cs="Arial"/>
          <w:sz w:val="22"/>
          <w:szCs w:val="22"/>
          <w:lang w:eastAsia="en-US"/>
        </w:rPr>
      </w:pPr>
      <w:r w:rsidRPr="004F64EE">
        <w:rPr>
          <w:rFonts w:cs="Arial"/>
          <w:color w:val="000000"/>
          <w:spacing w:val="-8"/>
          <w:sz w:val="21"/>
          <w:szCs w:val="21"/>
        </w:rPr>
        <w:t xml:space="preserve">Our existing corporate governance policies provide the appropriate balance between ensuring Board accountability to </w:t>
      </w:r>
      <w:r w:rsidR="00D830FF" w:rsidRPr="004F64EE">
        <w:rPr>
          <w:rFonts w:cs="Arial"/>
          <w:color w:val="000000"/>
          <w:spacing w:val="-8"/>
          <w:sz w:val="21"/>
          <w:szCs w:val="21"/>
        </w:rPr>
        <w:t>stockholders</w:t>
      </w:r>
      <w:r w:rsidR="00D830FF" w:rsidRPr="004F64EE" w:rsidDel="00D830FF">
        <w:rPr>
          <w:rFonts w:cs="Arial"/>
          <w:color w:val="000000"/>
          <w:spacing w:val="-8"/>
          <w:sz w:val="21"/>
          <w:szCs w:val="21"/>
        </w:rPr>
        <w:t xml:space="preserve"> </w:t>
      </w:r>
      <w:r w:rsidRPr="004F64EE">
        <w:rPr>
          <w:rFonts w:cs="Arial"/>
          <w:color w:val="000000"/>
          <w:spacing w:val="-8"/>
          <w:sz w:val="21"/>
          <w:szCs w:val="21"/>
        </w:rPr>
        <w:t xml:space="preserve">and enabling the Board to oversee effectively </w:t>
      </w:r>
      <w:r w:rsidR="00160F09" w:rsidRPr="004F64EE">
        <w:rPr>
          <w:rFonts w:cs="Arial"/>
          <w:color w:val="000000"/>
          <w:spacing w:val="-8"/>
          <w:sz w:val="21"/>
          <w:szCs w:val="21"/>
        </w:rPr>
        <w:t>the Company</w:t>
      </w:r>
      <w:r w:rsidRPr="004F64EE">
        <w:rPr>
          <w:rFonts w:cs="Arial"/>
          <w:color w:val="000000"/>
          <w:spacing w:val="-8"/>
          <w:sz w:val="21"/>
          <w:szCs w:val="21"/>
        </w:rPr>
        <w:t xml:space="preserve">’s business and affairs for the long-term benefit of </w:t>
      </w:r>
      <w:r w:rsidR="00D830FF" w:rsidRPr="004F64EE">
        <w:rPr>
          <w:rFonts w:cs="Arial"/>
          <w:color w:val="000000"/>
          <w:spacing w:val="-8"/>
          <w:sz w:val="21"/>
          <w:szCs w:val="21"/>
        </w:rPr>
        <w:t>stockholders</w:t>
      </w:r>
      <w:r w:rsidRPr="004F64EE">
        <w:rPr>
          <w:rFonts w:cs="Arial"/>
          <w:color w:val="000000"/>
          <w:spacing w:val="-8"/>
          <w:sz w:val="21"/>
          <w:szCs w:val="21"/>
        </w:rPr>
        <w:t xml:space="preserve">. Our Board fully is accountable to </w:t>
      </w:r>
      <w:r w:rsidR="00D830FF" w:rsidRPr="004F64EE">
        <w:rPr>
          <w:rFonts w:cs="Arial"/>
          <w:color w:val="000000"/>
          <w:spacing w:val="-8"/>
          <w:sz w:val="21"/>
          <w:szCs w:val="21"/>
        </w:rPr>
        <w:t>stockholders</w:t>
      </w:r>
      <w:r w:rsidR="00D830FF" w:rsidRPr="004F64EE" w:rsidDel="00D830FF">
        <w:rPr>
          <w:rFonts w:cs="Arial"/>
          <w:color w:val="000000"/>
          <w:spacing w:val="-8"/>
          <w:sz w:val="21"/>
          <w:szCs w:val="21"/>
        </w:rPr>
        <w:t xml:space="preserve"> </w:t>
      </w:r>
      <w:r w:rsidRPr="004F64EE">
        <w:rPr>
          <w:rFonts w:cs="Arial"/>
          <w:color w:val="000000"/>
          <w:spacing w:val="-8"/>
          <w:sz w:val="21"/>
          <w:szCs w:val="21"/>
        </w:rPr>
        <w:t>through a variety of progressive g</w:t>
      </w:r>
      <w:r w:rsidR="000A7FCF" w:rsidRPr="004F64EE">
        <w:rPr>
          <w:rFonts w:cs="Arial"/>
          <w:color w:val="000000"/>
          <w:spacing w:val="-8"/>
          <w:sz w:val="21"/>
          <w:szCs w:val="21"/>
        </w:rPr>
        <w:t xml:space="preserve">overnance practices, including </w:t>
      </w:r>
      <w:r w:rsidRPr="004F64EE">
        <w:rPr>
          <w:rFonts w:cs="Arial"/>
          <w:color w:val="000000"/>
          <w:spacing w:val="-8"/>
          <w:sz w:val="21"/>
          <w:szCs w:val="21"/>
        </w:rPr>
        <w:t>annual elections of our entire Board</w:t>
      </w:r>
      <w:r w:rsidR="000A7FCF" w:rsidRPr="004F64EE">
        <w:rPr>
          <w:rFonts w:cs="Arial"/>
          <w:color w:val="000000"/>
          <w:spacing w:val="-8"/>
          <w:sz w:val="21"/>
          <w:szCs w:val="21"/>
        </w:rPr>
        <w:t xml:space="preserve">, </w:t>
      </w:r>
      <w:r w:rsidRPr="004F64EE">
        <w:rPr>
          <w:rFonts w:cs="Arial"/>
          <w:color w:val="000000"/>
          <w:spacing w:val="-8"/>
          <w:sz w:val="21"/>
          <w:szCs w:val="21"/>
        </w:rPr>
        <w:t xml:space="preserve">majority voting for </w:t>
      </w:r>
      <w:r w:rsidR="000A7FCF" w:rsidRPr="004F64EE">
        <w:rPr>
          <w:rFonts w:cs="Arial"/>
          <w:color w:val="000000"/>
          <w:spacing w:val="-8"/>
          <w:sz w:val="21"/>
          <w:szCs w:val="21"/>
        </w:rPr>
        <w:t xml:space="preserve">directors, and the ability of </w:t>
      </w:r>
      <w:r w:rsidR="00D830FF" w:rsidRPr="004F64EE">
        <w:rPr>
          <w:rFonts w:cs="Arial"/>
          <w:color w:val="000000"/>
          <w:spacing w:val="-8"/>
          <w:sz w:val="21"/>
          <w:szCs w:val="21"/>
        </w:rPr>
        <w:t>stockholders</w:t>
      </w:r>
      <w:r w:rsidR="00D830FF" w:rsidRPr="004F64EE" w:rsidDel="00D830FF">
        <w:rPr>
          <w:rFonts w:cs="Arial"/>
          <w:color w:val="000000"/>
          <w:spacing w:val="-8"/>
          <w:sz w:val="21"/>
          <w:szCs w:val="21"/>
        </w:rPr>
        <w:t xml:space="preserve"> </w:t>
      </w:r>
      <w:r w:rsidR="000A7FCF" w:rsidRPr="004F64EE">
        <w:rPr>
          <w:rFonts w:cs="Arial"/>
          <w:color w:val="000000"/>
          <w:spacing w:val="-8"/>
          <w:sz w:val="21"/>
          <w:szCs w:val="21"/>
        </w:rPr>
        <w:t xml:space="preserve">to call special meetings. The Board already has in place options for </w:t>
      </w:r>
      <w:r w:rsidR="00D830FF" w:rsidRPr="004F64EE">
        <w:rPr>
          <w:rFonts w:cs="Arial"/>
          <w:color w:val="000000"/>
          <w:spacing w:val="-8"/>
          <w:sz w:val="21"/>
          <w:szCs w:val="21"/>
        </w:rPr>
        <w:t>stockholders</w:t>
      </w:r>
      <w:r w:rsidR="00D830FF" w:rsidRPr="004F64EE" w:rsidDel="00D830FF">
        <w:rPr>
          <w:rFonts w:cs="Arial"/>
          <w:color w:val="000000"/>
          <w:spacing w:val="-8"/>
          <w:sz w:val="21"/>
          <w:szCs w:val="21"/>
        </w:rPr>
        <w:t xml:space="preserve"> </w:t>
      </w:r>
      <w:r w:rsidR="000A7FCF" w:rsidRPr="004F64EE">
        <w:rPr>
          <w:rFonts w:cs="Arial"/>
          <w:color w:val="000000"/>
          <w:spacing w:val="-8"/>
          <w:sz w:val="21"/>
          <w:szCs w:val="21"/>
        </w:rPr>
        <w:t xml:space="preserve">to communicate directly with the Board by email or </w:t>
      </w:r>
      <w:r w:rsidR="0068293F" w:rsidRPr="004F64EE">
        <w:rPr>
          <w:rFonts w:cs="Arial"/>
          <w:color w:val="000000"/>
          <w:spacing w:val="-8"/>
          <w:sz w:val="21"/>
          <w:szCs w:val="21"/>
        </w:rPr>
        <w:t xml:space="preserve">regular </w:t>
      </w:r>
      <w:r w:rsidR="000A7FCF" w:rsidRPr="004F64EE">
        <w:rPr>
          <w:rFonts w:cs="Arial"/>
          <w:color w:val="000000"/>
          <w:spacing w:val="-8"/>
          <w:sz w:val="21"/>
          <w:szCs w:val="21"/>
        </w:rPr>
        <w:t>mail</w:t>
      </w:r>
      <w:r w:rsidR="000A7FCF" w:rsidRPr="00FE51C0">
        <w:rPr>
          <w:rFonts w:cs="Arial"/>
          <w:sz w:val="22"/>
          <w:szCs w:val="22"/>
          <w:lang w:eastAsia="en-US"/>
        </w:rPr>
        <w:t xml:space="preserve">. </w:t>
      </w:r>
    </w:p>
    <w:p w14:paraId="23AB3EFA" w14:textId="77777777" w:rsidR="00244BFC" w:rsidRPr="00FE51C0" w:rsidRDefault="00244BFC" w:rsidP="00B23286">
      <w:pPr>
        <w:suppressAutoHyphens w:val="0"/>
        <w:spacing w:before="100" w:beforeAutospacing="1" w:after="100" w:afterAutospacing="1"/>
        <w:ind w:firstLine="720"/>
        <w:rPr>
          <w:rFonts w:cs="Arial"/>
          <w:sz w:val="22"/>
          <w:szCs w:val="22"/>
          <w:lang w:eastAsia="en-US"/>
        </w:rPr>
      </w:pPr>
      <w:r w:rsidRPr="004F64EE">
        <w:rPr>
          <w:rFonts w:cs="Arial"/>
          <w:color w:val="000000"/>
          <w:spacing w:val="-8"/>
          <w:sz w:val="21"/>
          <w:szCs w:val="21"/>
        </w:rPr>
        <w:t xml:space="preserve">Given our Board’s record of protecting </w:t>
      </w:r>
      <w:r w:rsidR="00D830FF" w:rsidRPr="004F64EE">
        <w:rPr>
          <w:rFonts w:cs="Arial"/>
          <w:color w:val="000000"/>
          <w:spacing w:val="-8"/>
          <w:sz w:val="21"/>
          <w:szCs w:val="21"/>
        </w:rPr>
        <w:t>stockholder</w:t>
      </w:r>
      <w:r w:rsidR="00D830FF" w:rsidRPr="004F64EE" w:rsidDel="00D830FF">
        <w:rPr>
          <w:rFonts w:cs="Arial"/>
          <w:color w:val="000000"/>
          <w:spacing w:val="-8"/>
          <w:sz w:val="21"/>
          <w:szCs w:val="21"/>
        </w:rPr>
        <w:t xml:space="preserve"> </w:t>
      </w:r>
      <w:r w:rsidRPr="004F64EE">
        <w:rPr>
          <w:rFonts w:cs="Arial"/>
          <w:color w:val="000000"/>
          <w:spacing w:val="-8"/>
          <w:sz w:val="21"/>
          <w:szCs w:val="21"/>
        </w:rPr>
        <w:t xml:space="preserve">rights and responding to </w:t>
      </w:r>
      <w:r w:rsidR="00D830FF" w:rsidRPr="004F64EE">
        <w:rPr>
          <w:rFonts w:cs="Arial"/>
          <w:color w:val="000000"/>
          <w:spacing w:val="-8"/>
          <w:sz w:val="21"/>
          <w:szCs w:val="21"/>
        </w:rPr>
        <w:t>stockholder</w:t>
      </w:r>
      <w:r w:rsidR="00D830FF" w:rsidRPr="004F64EE" w:rsidDel="00D830FF">
        <w:rPr>
          <w:rFonts w:cs="Arial"/>
          <w:color w:val="000000"/>
          <w:spacing w:val="-8"/>
          <w:sz w:val="21"/>
          <w:szCs w:val="21"/>
        </w:rPr>
        <w:t xml:space="preserve"> </w:t>
      </w:r>
      <w:r w:rsidRPr="004F64EE">
        <w:rPr>
          <w:rFonts w:cs="Arial"/>
          <w:color w:val="000000"/>
          <w:spacing w:val="-8"/>
          <w:sz w:val="21"/>
          <w:szCs w:val="21"/>
        </w:rPr>
        <w:t>input</w:t>
      </w:r>
      <w:r w:rsidR="0068293F" w:rsidRPr="004F64EE">
        <w:rPr>
          <w:rFonts w:cs="Arial"/>
          <w:color w:val="000000"/>
          <w:spacing w:val="-8"/>
          <w:sz w:val="21"/>
          <w:szCs w:val="21"/>
        </w:rPr>
        <w:t xml:space="preserve">, </w:t>
      </w:r>
      <w:r w:rsidRPr="004F64EE">
        <w:rPr>
          <w:rFonts w:cs="Arial"/>
          <w:color w:val="000000"/>
          <w:spacing w:val="-8"/>
          <w:sz w:val="21"/>
          <w:szCs w:val="21"/>
        </w:rPr>
        <w:t xml:space="preserve">as well as the lack of critical safeguards against the abuse of a proxy access for short-term interests, this proposal does not warrant support and has the potential for creating significant risk to </w:t>
      </w:r>
      <w:r w:rsidR="00160F09" w:rsidRPr="004F64EE">
        <w:rPr>
          <w:rFonts w:cs="Arial"/>
          <w:color w:val="000000"/>
          <w:spacing w:val="-8"/>
          <w:sz w:val="21"/>
          <w:szCs w:val="21"/>
        </w:rPr>
        <w:t>the Company</w:t>
      </w:r>
      <w:r w:rsidRPr="004F64EE">
        <w:rPr>
          <w:rFonts w:cs="Arial"/>
          <w:color w:val="000000"/>
          <w:spacing w:val="-8"/>
          <w:sz w:val="21"/>
          <w:szCs w:val="21"/>
        </w:rPr>
        <w:t xml:space="preserve">’s </w:t>
      </w:r>
      <w:r w:rsidR="00D830FF" w:rsidRPr="004F64EE">
        <w:rPr>
          <w:rFonts w:cs="Arial"/>
          <w:color w:val="000000"/>
          <w:spacing w:val="-8"/>
          <w:sz w:val="21"/>
          <w:szCs w:val="21"/>
        </w:rPr>
        <w:t>stockholders</w:t>
      </w:r>
      <w:r w:rsidR="00163FA3" w:rsidRPr="00FE51C0">
        <w:rPr>
          <w:rFonts w:cs="Arial"/>
          <w:sz w:val="22"/>
          <w:szCs w:val="22"/>
          <w:lang w:eastAsia="en-US"/>
        </w:rPr>
        <w:t>.</w:t>
      </w:r>
    </w:p>
    <w:p w14:paraId="23AB3EFB" w14:textId="77777777" w:rsidR="00244BFC" w:rsidRDefault="00566E8F" w:rsidP="00B23286">
      <w:pPr>
        <w:suppressAutoHyphens w:val="0"/>
        <w:spacing w:before="100" w:beforeAutospacing="1" w:after="100" w:afterAutospacing="1"/>
        <w:ind w:firstLine="720"/>
        <w:rPr>
          <w:rFonts w:cs="Arial"/>
          <w:b/>
          <w:sz w:val="22"/>
          <w:szCs w:val="22"/>
          <w:lang w:eastAsia="en-US"/>
        </w:rPr>
      </w:pPr>
      <w:r w:rsidRPr="00B23286">
        <w:rPr>
          <w:rFonts w:cs="Arial"/>
          <w:b/>
          <w:sz w:val="22"/>
          <w:szCs w:val="22"/>
          <w:lang w:eastAsia="en-US"/>
        </w:rPr>
        <w:t xml:space="preserve">The Board </w:t>
      </w:r>
      <w:r w:rsidR="000D73D9">
        <w:rPr>
          <w:rFonts w:cs="Arial"/>
          <w:b/>
          <w:sz w:val="22"/>
          <w:szCs w:val="22"/>
          <w:lang w:eastAsia="en-US"/>
        </w:rPr>
        <w:t xml:space="preserve">recommends a </w:t>
      </w:r>
      <w:r w:rsidRPr="00B23286">
        <w:rPr>
          <w:rFonts w:cs="Arial"/>
          <w:b/>
          <w:sz w:val="22"/>
          <w:szCs w:val="22"/>
          <w:lang w:eastAsia="en-US"/>
        </w:rPr>
        <w:t>vote AGAINST this proposal.</w:t>
      </w:r>
    </w:p>
    <w:p w14:paraId="23AB3EFC" w14:textId="77777777" w:rsidR="00163FA3" w:rsidRDefault="00163FA3" w:rsidP="00163FA3">
      <w:pPr>
        <w:ind w:firstLine="720"/>
        <w:jc w:val="both"/>
        <w:rPr>
          <w:rFonts w:cs="Arial"/>
          <w:sz w:val="22"/>
          <w:szCs w:val="22"/>
        </w:rPr>
      </w:pPr>
      <w:r w:rsidRPr="004F64EE">
        <w:rPr>
          <w:rFonts w:cs="Arial"/>
          <w:color w:val="000000"/>
          <w:spacing w:val="-8"/>
          <w:sz w:val="21"/>
          <w:szCs w:val="21"/>
        </w:rPr>
        <w:t>Proposals of stockholders for possible consideration at the 2016 Annual Meeting (expected to be held in May 2016) must be received by the Secretary of the Company not later than December 1</w:t>
      </w:r>
      <w:r w:rsidR="00922562">
        <w:rPr>
          <w:rFonts w:cs="Arial"/>
          <w:color w:val="000000"/>
          <w:spacing w:val="-8"/>
          <w:sz w:val="21"/>
          <w:szCs w:val="21"/>
        </w:rPr>
        <w:t>6</w:t>
      </w:r>
      <w:r w:rsidRPr="004F64EE">
        <w:rPr>
          <w:rFonts w:cs="Arial"/>
          <w:color w:val="000000"/>
          <w:spacing w:val="-8"/>
          <w:sz w:val="21"/>
          <w:szCs w:val="21"/>
        </w:rPr>
        <w:t>, 2015 to be considered for inclusion in the proxy statement for that meeting, if appropriate for consideration under applicable securities laws</w:t>
      </w:r>
      <w:r w:rsidRPr="00FE51C0">
        <w:rPr>
          <w:rFonts w:cs="Arial"/>
          <w:sz w:val="22"/>
          <w:szCs w:val="22"/>
        </w:rPr>
        <w:t>.</w:t>
      </w:r>
    </w:p>
    <w:p w14:paraId="23AB3EFD" w14:textId="77777777" w:rsidR="00351869" w:rsidRDefault="00351869" w:rsidP="00163FA3">
      <w:pPr>
        <w:ind w:firstLine="720"/>
        <w:jc w:val="both"/>
        <w:rPr>
          <w:rFonts w:cs="Arial"/>
          <w:sz w:val="22"/>
          <w:szCs w:val="22"/>
        </w:rPr>
      </w:pPr>
    </w:p>
    <w:p w14:paraId="23AB3EFE" w14:textId="77777777" w:rsidR="00351869" w:rsidRDefault="00351869" w:rsidP="00163FA3">
      <w:pPr>
        <w:ind w:firstLine="720"/>
        <w:jc w:val="both"/>
        <w:rPr>
          <w:rFonts w:cs="Arial"/>
          <w:sz w:val="22"/>
          <w:szCs w:val="22"/>
        </w:rPr>
      </w:pPr>
    </w:p>
    <w:p w14:paraId="23AB3EFF" w14:textId="77777777" w:rsidR="00351869" w:rsidRDefault="00351869" w:rsidP="00163FA3">
      <w:pPr>
        <w:ind w:firstLine="720"/>
        <w:jc w:val="both"/>
        <w:rPr>
          <w:rFonts w:cs="Arial"/>
          <w:sz w:val="22"/>
          <w:szCs w:val="22"/>
        </w:rPr>
      </w:pPr>
    </w:p>
    <w:p w14:paraId="23AB3F00" w14:textId="77777777" w:rsidR="00351869" w:rsidRDefault="00351869" w:rsidP="00163FA3">
      <w:pPr>
        <w:ind w:firstLine="720"/>
        <w:jc w:val="both"/>
        <w:rPr>
          <w:rFonts w:cs="Arial"/>
          <w:sz w:val="22"/>
          <w:szCs w:val="22"/>
        </w:rPr>
      </w:pPr>
    </w:p>
    <w:p w14:paraId="23AB3F01" w14:textId="77777777" w:rsidR="00351869" w:rsidRPr="00FE51C0" w:rsidRDefault="00351869" w:rsidP="00163FA3">
      <w:pPr>
        <w:ind w:firstLine="720"/>
        <w:jc w:val="both"/>
        <w:rPr>
          <w:rFonts w:cs="Arial"/>
          <w:sz w:val="22"/>
          <w:szCs w:val="22"/>
        </w:rPr>
      </w:pPr>
    </w:p>
    <w:p w14:paraId="23AB3F02" w14:textId="77777777" w:rsidR="005216E6" w:rsidRDefault="005216E6" w:rsidP="00EB2EFB">
      <w:pPr>
        <w:spacing w:line="230" w:lineRule="exact"/>
        <w:jc w:val="both"/>
        <w:rPr>
          <w:rFonts w:cs="Arial"/>
          <w:sz w:val="22"/>
          <w:szCs w:val="22"/>
        </w:rPr>
      </w:pPr>
    </w:p>
    <w:p w14:paraId="23AB3F03" w14:textId="77777777" w:rsidR="005216E6" w:rsidRDefault="005216E6" w:rsidP="00EB2EFB">
      <w:pPr>
        <w:spacing w:line="230" w:lineRule="exact"/>
        <w:jc w:val="center"/>
        <w:rPr>
          <w:rFonts w:cs="Arial"/>
          <w:b/>
          <w:szCs w:val="24"/>
        </w:rPr>
      </w:pPr>
      <w:r>
        <w:rPr>
          <w:rFonts w:cs="Arial"/>
          <w:b/>
          <w:szCs w:val="24"/>
        </w:rPr>
        <w:t>STOCKHOLDER COMMUNICATIONS WITH THE BOARD</w:t>
      </w:r>
    </w:p>
    <w:p w14:paraId="23AB3F04" w14:textId="77777777" w:rsidR="005216E6" w:rsidRPr="00FE51C0" w:rsidRDefault="005216E6" w:rsidP="00EB2EFB">
      <w:pPr>
        <w:spacing w:line="230" w:lineRule="exact"/>
        <w:jc w:val="both"/>
        <w:rPr>
          <w:rFonts w:cs="Arial"/>
          <w:sz w:val="22"/>
          <w:szCs w:val="22"/>
        </w:rPr>
      </w:pPr>
    </w:p>
    <w:p w14:paraId="23AB3F05" w14:textId="77777777" w:rsidR="005216E6" w:rsidRPr="00FE51C0" w:rsidRDefault="005216E6" w:rsidP="00A7548A">
      <w:pPr>
        <w:spacing w:line="230" w:lineRule="exact"/>
        <w:ind w:firstLine="720"/>
        <w:jc w:val="both"/>
        <w:rPr>
          <w:rFonts w:cs="Arial"/>
          <w:sz w:val="22"/>
          <w:szCs w:val="22"/>
        </w:rPr>
      </w:pPr>
      <w:r w:rsidRPr="004F64EE">
        <w:rPr>
          <w:rFonts w:cs="Arial"/>
          <w:color w:val="000000"/>
          <w:spacing w:val="-8"/>
          <w:sz w:val="21"/>
          <w:szCs w:val="21"/>
        </w:rPr>
        <w:t xml:space="preserve">The </w:t>
      </w:r>
      <w:r w:rsidR="006F31D2" w:rsidRPr="004F64EE">
        <w:rPr>
          <w:rFonts w:cs="Arial"/>
          <w:color w:val="000000"/>
          <w:spacing w:val="-8"/>
          <w:sz w:val="21"/>
          <w:szCs w:val="21"/>
        </w:rPr>
        <w:t>Board</w:t>
      </w:r>
      <w:r w:rsidRPr="004F64EE">
        <w:rPr>
          <w:rFonts w:cs="Arial"/>
          <w:color w:val="000000"/>
          <w:spacing w:val="-8"/>
          <w:sz w:val="21"/>
          <w:szCs w:val="21"/>
        </w:rPr>
        <w:t xml:space="preserve"> has adopted the following procedure for stockholders to send communications to the Board. Stockholders who wish to send communications to directors should refer to the Company's website at: </w:t>
      </w:r>
      <w:hyperlink r:id="rId11" w:history="1">
        <w:r w:rsidRPr="004F64EE">
          <w:rPr>
            <w:spacing w:val="-8"/>
            <w:sz w:val="21"/>
            <w:szCs w:val="21"/>
          </w:rPr>
          <w:t>www.u-g.com</w:t>
        </w:r>
      </w:hyperlink>
      <w:r w:rsidRPr="004F64EE">
        <w:rPr>
          <w:rFonts w:cs="Arial"/>
          <w:color w:val="000000"/>
          <w:spacing w:val="-8"/>
          <w:sz w:val="21"/>
          <w:szCs w:val="21"/>
        </w:rPr>
        <w:t xml:space="preserve"> and direct those communications to Mr. Arthur M. Dresner, Chairman of the Audit Committee, whose email address is posted there. All communications sent to Mr. Dresner, but addressed to other Board members, will be forwarded to that Board member by Mr. Dresner</w:t>
      </w:r>
      <w:r w:rsidRPr="00FE51C0">
        <w:rPr>
          <w:rFonts w:cs="Arial"/>
          <w:sz w:val="22"/>
          <w:szCs w:val="22"/>
        </w:rPr>
        <w:t>.</w:t>
      </w:r>
    </w:p>
    <w:p w14:paraId="23AB3F06" w14:textId="77777777" w:rsidR="005216E6" w:rsidRPr="00FE51C0" w:rsidRDefault="005216E6" w:rsidP="00EB2EFB">
      <w:pPr>
        <w:spacing w:line="230" w:lineRule="exact"/>
        <w:jc w:val="both"/>
        <w:rPr>
          <w:rFonts w:cs="Arial"/>
          <w:sz w:val="20"/>
        </w:rPr>
      </w:pPr>
    </w:p>
    <w:p w14:paraId="23AB3F07" w14:textId="77777777" w:rsidR="005216E6" w:rsidRPr="00FE51C0" w:rsidRDefault="005216E6" w:rsidP="00EB2EFB">
      <w:pPr>
        <w:spacing w:line="230" w:lineRule="exact"/>
        <w:jc w:val="center"/>
        <w:rPr>
          <w:rFonts w:cs="Arial"/>
          <w:sz w:val="22"/>
          <w:szCs w:val="22"/>
        </w:rPr>
      </w:pPr>
      <w:r w:rsidRPr="00FE51C0">
        <w:rPr>
          <w:rFonts w:cs="Arial"/>
          <w:b/>
          <w:szCs w:val="24"/>
        </w:rPr>
        <w:t>OTHER BUSINESS</w:t>
      </w:r>
    </w:p>
    <w:p w14:paraId="23AB3F08" w14:textId="77777777" w:rsidR="005216E6" w:rsidRPr="00FE51C0" w:rsidRDefault="005216E6" w:rsidP="00C76B7F">
      <w:pPr>
        <w:spacing w:line="230" w:lineRule="exact"/>
        <w:jc w:val="both"/>
        <w:rPr>
          <w:rFonts w:cs="Arial"/>
          <w:b/>
          <w:szCs w:val="24"/>
        </w:rPr>
      </w:pPr>
    </w:p>
    <w:p w14:paraId="23AB3F09" w14:textId="77777777" w:rsidR="005216E6" w:rsidRPr="00FE51C0" w:rsidRDefault="005216E6" w:rsidP="00A7548A">
      <w:pPr>
        <w:spacing w:line="230" w:lineRule="exact"/>
        <w:ind w:firstLine="720"/>
        <w:jc w:val="both"/>
        <w:rPr>
          <w:rFonts w:cs="Arial"/>
          <w:sz w:val="22"/>
          <w:szCs w:val="22"/>
        </w:rPr>
      </w:pPr>
      <w:r w:rsidRPr="004F64EE">
        <w:rPr>
          <w:rFonts w:cs="Arial"/>
          <w:color w:val="000000"/>
          <w:spacing w:val="-8"/>
          <w:sz w:val="21"/>
          <w:szCs w:val="21"/>
        </w:rPr>
        <w:t>Management of the Company knows of no business other than that referred to in the foregoing Notice of Annual Meeting and Proxy Statement that may come before the Annual Meeting</w:t>
      </w:r>
      <w:r w:rsidRPr="00FE51C0">
        <w:rPr>
          <w:rFonts w:cs="Arial"/>
          <w:sz w:val="22"/>
          <w:szCs w:val="22"/>
        </w:rPr>
        <w:t>.</w:t>
      </w:r>
    </w:p>
    <w:p w14:paraId="23AB3F0A" w14:textId="77777777" w:rsidR="005216E6" w:rsidRPr="00FE51C0" w:rsidRDefault="005216E6" w:rsidP="00EB2EFB">
      <w:pPr>
        <w:keepNext/>
        <w:spacing w:line="230" w:lineRule="exact"/>
        <w:jc w:val="both"/>
        <w:rPr>
          <w:rFonts w:cs="Arial"/>
          <w:sz w:val="20"/>
        </w:rPr>
      </w:pPr>
    </w:p>
    <w:p w14:paraId="23AB3F0B" w14:textId="77777777" w:rsidR="005216E6" w:rsidRPr="00FE51C0" w:rsidRDefault="005216E6" w:rsidP="00EB2EFB">
      <w:pPr>
        <w:keepNext/>
        <w:spacing w:line="230" w:lineRule="exact"/>
        <w:jc w:val="both"/>
        <w:rPr>
          <w:rFonts w:cs="Arial"/>
          <w:sz w:val="20"/>
        </w:rPr>
      </w:pPr>
    </w:p>
    <w:p w14:paraId="23AB3F0C" w14:textId="77777777" w:rsidR="005216E6" w:rsidRPr="00FE51C0" w:rsidRDefault="005216E6" w:rsidP="00EB2EFB">
      <w:pPr>
        <w:keepNext/>
        <w:spacing w:line="230" w:lineRule="exact"/>
        <w:rPr>
          <w:rFonts w:cs="Arial"/>
          <w:sz w:val="22"/>
          <w:szCs w:val="22"/>
        </w:rPr>
      </w:pPr>
      <w:r w:rsidRPr="00FE51C0">
        <w:rPr>
          <w:rFonts w:cs="Arial"/>
          <w:sz w:val="22"/>
          <w:szCs w:val="22"/>
        </w:rPr>
        <w:t xml:space="preserve">                                     </w:t>
      </w:r>
      <w:r w:rsidRPr="00FE51C0">
        <w:rPr>
          <w:rFonts w:cs="Arial"/>
          <w:sz w:val="22"/>
          <w:szCs w:val="22"/>
        </w:rPr>
        <w:tab/>
      </w:r>
      <w:r w:rsidRPr="00FE51C0">
        <w:rPr>
          <w:rFonts w:cs="Arial"/>
          <w:sz w:val="22"/>
          <w:szCs w:val="22"/>
        </w:rPr>
        <w:tab/>
      </w:r>
      <w:r w:rsidRPr="00FE51C0">
        <w:rPr>
          <w:rFonts w:cs="Arial"/>
          <w:sz w:val="22"/>
          <w:szCs w:val="22"/>
        </w:rPr>
        <w:tab/>
      </w:r>
      <w:r w:rsidRPr="00FE51C0">
        <w:rPr>
          <w:rFonts w:cs="Arial"/>
          <w:sz w:val="22"/>
          <w:szCs w:val="22"/>
        </w:rPr>
        <w:tab/>
      </w:r>
      <w:r w:rsidRPr="00FE51C0">
        <w:rPr>
          <w:rFonts w:cs="Arial"/>
          <w:sz w:val="22"/>
          <w:szCs w:val="22"/>
        </w:rPr>
        <w:tab/>
      </w:r>
      <w:r w:rsidRPr="00FE51C0">
        <w:rPr>
          <w:rFonts w:cs="Arial"/>
          <w:sz w:val="22"/>
          <w:szCs w:val="22"/>
        </w:rPr>
        <w:tab/>
      </w:r>
      <w:r w:rsidRPr="004F64EE">
        <w:rPr>
          <w:rFonts w:cs="Arial"/>
          <w:color w:val="000000"/>
          <w:spacing w:val="-8"/>
          <w:sz w:val="21"/>
          <w:szCs w:val="21"/>
        </w:rPr>
        <w:t>By order of the Board of Directors</w:t>
      </w:r>
    </w:p>
    <w:p w14:paraId="23AB3F0D" w14:textId="77777777" w:rsidR="005216E6" w:rsidRPr="00FE51C0" w:rsidRDefault="005216E6" w:rsidP="00EB2EFB">
      <w:pPr>
        <w:keepNext/>
        <w:spacing w:line="230" w:lineRule="exact"/>
        <w:rPr>
          <w:rFonts w:cs="Arial"/>
          <w:sz w:val="22"/>
          <w:szCs w:val="22"/>
        </w:rPr>
      </w:pPr>
      <w:r w:rsidRPr="00FE51C0">
        <w:rPr>
          <w:rFonts w:cs="Arial"/>
          <w:sz w:val="22"/>
          <w:szCs w:val="22"/>
        </w:rPr>
        <w:tab/>
      </w:r>
      <w:r w:rsidRPr="00FE51C0">
        <w:rPr>
          <w:rFonts w:cs="Arial"/>
          <w:sz w:val="22"/>
          <w:szCs w:val="22"/>
        </w:rPr>
        <w:tab/>
      </w:r>
      <w:r w:rsidRPr="00FE51C0">
        <w:rPr>
          <w:rFonts w:cs="Arial"/>
          <w:sz w:val="22"/>
          <w:szCs w:val="22"/>
        </w:rPr>
        <w:tab/>
      </w:r>
      <w:r w:rsidRPr="00FE51C0">
        <w:rPr>
          <w:rFonts w:cs="Arial"/>
          <w:sz w:val="22"/>
          <w:szCs w:val="22"/>
        </w:rPr>
        <w:tab/>
      </w:r>
      <w:r w:rsidRPr="00FE51C0">
        <w:rPr>
          <w:rFonts w:cs="Arial"/>
          <w:sz w:val="22"/>
          <w:szCs w:val="22"/>
        </w:rPr>
        <w:tab/>
      </w:r>
      <w:r w:rsidRPr="00FE51C0">
        <w:rPr>
          <w:rFonts w:cs="Arial"/>
          <w:sz w:val="22"/>
          <w:szCs w:val="22"/>
        </w:rPr>
        <w:tab/>
      </w:r>
      <w:r w:rsidRPr="00FE51C0">
        <w:rPr>
          <w:rFonts w:cs="Arial"/>
          <w:sz w:val="22"/>
          <w:szCs w:val="22"/>
        </w:rPr>
        <w:tab/>
      </w:r>
      <w:r w:rsidRPr="00FE51C0">
        <w:rPr>
          <w:rFonts w:cs="Arial"/>
          <w:sz w:val="22"/>
          <w:szCs w:val="22"/>
        </w:rPr>
        <w:tab/>
      </w:r>
      <w:r w:rsidRPr="00FE51C0">
        <w:rPr>
          <w:rFonts w:cs="Arial"/>
          <w:sz w:val="22"/>
          <w:szCs w:val="22"/>
        </w:rPr>
        <w:tab/>
      </w:r>
      <w:r w:rsidRPr="004F64EE">
        <w:rPr>
          <w:rFonts w:cs="Arial"/>
          <w:color w:val="000000"/>
          <w:spacing w:val="-8"/>
          <w:sz w:val="21"/>
          <w:szCs w:val="21"/>
        </w:rPr>
        <w:t>Robert S. Rubinger, Secretary</w:t>
      </w:r>
    </w:p>
    <w:p w14:paraId="23AB3F0E" w14:textId="77777777" w:rsidR="005216E6" w:rsidRPr="00FE51C0" w:rsidRDefault="005216E6" w:rsidP="00EB2EFB">
      <w:pPr>
        <w:spacing w:line="230" w:lineRule="exact"/>
        <w:jc w:val="both"/>
        <w:rPr>
          <w:rFonts w:cs="Arial"/>
          <w:sz w:val="22"/>
          <w:szCs w:val="22"/>
        </w:rPr>
      </w:pPr>
      <w:r w:rsidRPr="004F64EE">
        <w:rPr>
          <w:rFonts w:cs="Arial"/>
          <w:color w:val="000000"/>
          <w:spacing w:val="-8"/>
          <w:sz w:val="21"/>
          <w:szCs w:val="21"/>
        </w:rPr>
        <w:t>Dated:  April 14, 2015</w:t>
      </w:r>
    </w:p>
    <w:p w14:paraId="23AB3F0F" w14:textId="77777777" w:rsidR="005216E6" w:rsidRPr="00FE51C0" w:rsidRDefault="005216E6" w:rsidP="00EB2EFB">
      <w:pPr>
        <w:spacing w:line="230" w:lineRule="exact"/>
        <w:jc w:val="both"/>
        <w:rPr>
          <w:rFonts w:cs="Arial"/>
          <w:sz w:val="22"/>
          <w:szCs w:val="22"/>
        </w:rPr>
      </w:pPr>
    </w:p>
    <w:p w14:paraId="23AB3F10" w14:textId="77777777" w:rsidR="005216E6" w:rsidRDefault="005216E6" w:rsidP="00C76B7F">
      <w:pPr>
        <w:spacing w:line="230" w:lineRule="exact"/>
        <w:jc w:val="both"/>
      </w:pPr>
    </w:p>
    <w:p w14:paraId="23AB3F11" w14:textId="77777777" w:rsidR="005216E6" w:rsidRPr="00EB2EFB" w:rsidRDefault="00244BFC" w:rsidP="00C76B7F">
      <w:pPr>
        <w:spacing w:line="230" w:lineRule="exact"/>
        <w:jc w:val="both"/>
      </w:pPr>
      <w:r>
        <w:rPr>
          <w:noProof/>
          <w:lang w:eastAsia="en-US"/>
        </w:rPr>
        <mc:AlternateContent>
          <mc:Choice Requires="wps">
            <w:drawing>
              <wp:anchor distT="0" distB="0" distL="114935" distR="114935" simplePos="0" relativeHeight="251659264" behindDoc="0" locked="0" layoutInCell="1" allowOverlap="1" wp14:anchorId="23AB3F1E" wp14:editId="23AB3F1F">
                <wp:simplePos x="0" y="0"/>
                <wp:positionH relativeFrom="column">
                  <wp:posOffset>114300</wp:posOffset>
                </wp:positionH>
                <wp:positionV relativeFrom="paragraph">
                  <wp:posOffset>48895</wp:posOffset>
                </wp:positionV>
                <wp:extent cx="6504305" cy="869950"/>
                <wp:effectExtent l="0" t="0" r="10795"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869950"/>
                        </a:xfrm>
                        <a:prstGeom prst="rect">
                          <a:avLst/>
                        </a:prstGeom>
                        <a:solidFill>
                          <a:srgbClr val="FFFFFF"/>
                        </a:solidFill>
                        <a:ln w="9525">
                          <a:solidFill>
                            <a:srgbClr val="000000"/>
                          </a:solidFill>
                          <a:miter lim="800000"/>
                          <a:headEnd/>
                          <a:tailEnd/>
                        </a:ln>
                      </wps:spPr>
                      <wps:txbx>
                        <w:txbxContent>
                          <w:p w14:paraId="23AB3F36" w14:textId="77777777" w:rsidR="009E1018" w:rsidRDefault="009E1018" w:rsidP="00EB2EFB">
                            <w:pPr>
                              <w:jc w:val="both"/>
                              <w:rPr>
                                <w:rFonts w:cs="Arial"/>
                                <w:sz w:val="21"/>
                                <w:szCs w:val="21"/>
                              </w:rPr>
                            </w:pPr>
                            <w:r w:rsidRPr="00554FFD">
                              <w:rPr>
                                <w:rFonts w:cs="Arial"/>
                                <w:sz w:val="21"/>
                                <w:szCs w:val="21"/>
                              </w:rPr>
                              <w:t>THE COMPANY WILL FURNISH, WITHOUT CHARGE, A COPY OF ITS ANNUAL REPORT ON FORM 10-K FOR THE FISCAL YEAR ENDED DECEMBER 31, 201</w:t>
                            </w:r>
                            <w:r>
                              <w:rPr>
                                <w:rFonts w:cs="Arial"/>
                                <w:sz w:val="21"/>
                                <w:szCs w:val="21"/>
                              </w:rPr>
                              <w:t>4</w:t>
                            </w:r>
                            <w:r w:rsidRPr="00554FFD">
                              <w:rPr>
                                <w:rFonts w:cs="Arial"/>
                                <w:sz w:val="21"/>
                                <w:szCs w:val="21"/>
                              </w:rPr>
                              <w:t xml:space="preserve">, INCLUDING FINANCIAL STATEMENTS AND FINANCIAL STATEMENT SCHEDULES, BUT EXCLUDING EXHIBITS, TO EACH STOCKHOLDER WHO REQUESTS THE 10-K IN WRITING ADDRESSED TO: </w:t>
                            </w:r>
                            <w:r w:rsidRPr="00554FFD">
                              <w:rPr>
                                <w:rFonts w:cs="Arial"/>
                                <w:bCs/>
                                <w:sz w:val="21"/>
                                <w:szCs w:val="21"/>
                              </w:rPr>
                              <w:t>ROBERT S. RUBINGER, CORPORATE SECRETARY, UNITED-GUARDIAN, INC., P. O. BOX 18050, HAUPPAUGE, NEW YORK 11788</w:t>
                            </w:r>
                            <w:r w:rsidRPr="00554FFD">
                              <w:rPr>
                                <w:rFonts w:cs="Arial"/>
                                <w:sz w:val="21"/>
                                <w:szCs w:val="21"/>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3.85pt;width:512.15pt;height:6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">
                <v:textbox inset="7.45pt,3.85pt,7.45pt,3.85pt">
                  <w:txbxContent>
                    <w:p w:rsidR="009E1018" w:rsidRDefault="009E1018" w:rsidP="00EB2EFB">
                      <w:pPr>
                        <w:jc w:val="both"/>
                        <w:rPr>
                          <w:rFonts w:cs="Arial"/>
                          <w:sz w:val="21"/>
                          <w:szCs w:val="21"/>
                        </w:rPr>
                      </w:pPr>
                      <w:r w:rsidRPr="00554FFD">
                        <w:rPr>
                          <w:rFonts w:cs="Arial"/>
                          <w:sz w:val="21"/>
                          <w:szCs w:val="21"/>
                        </w:rPr>
                        <w:t>THE COMPANY WILL FURNISH, WITHOUT CHARGE, A COPY OF ITS ANNUAL REPORT ON FORM 10-K FOR THE FISCAL YEAR ENDED DECEMBER 31, 201</w:t>
                      </w:r>
                      <w:r>
                        <w:rPr>
                          <w:rFonts w:cs="Arial"/>
                          <w:sz w:val="21"/>
                          <w:szCs w:val="21"/>
                        </w:rPr>
                        <w:t>4</w:t>
                      </w:r>
                      <w:r w:rsidRPr="00554FFD">
                        <w:rPr>
                          <w:rFonts w:cs="Arial"/>
                          <w:sz w:val="21"/>
                          <w:szCs w:val="21"/>
                        </w:rPr>
                        <w:t xml:space="preserve">, INCLUDING FINANCIAL STATEMENTS AND FINANCIAL STATEMENT SCHEDULES, BUT EXCLUDING EXHIBITS, TO EACH STOCKHOLDER WHO REQUESTS THE 10-K IN WRITING ADDRESSED TO: </w:t>
                      </w:r>
                      <w:r w:rsidRPr="00554FFD">
                        <w:rPr>
                          <w:rFonts w:cs="Arial"/>
                          <w:bCs/>
                          <w:sz w:val="21"/>
                          <w:szCs w:val="21"/>
                        </w:rPr>
                        <w:t>ROBERT S. RUBINGER, CORPORATE SECRETARY, UNITED-GUARDIAN, INC., P. O. BOX 18050, HAUPPAUGE, NEW YORK 11788</w:t>
                      </w:r>
                      <w:r w:rsidRPr="00554FFD">
                        <w:rPr>
                          <w:rFonts w:cs="Arial"/>
                          <w:sz w:val="21"/>
                          <w:szCs w:val="21"/>
                        </w:rPr>
                        <w:t>.</w:t>
                      </w:r>
                    </w:p>
                  </w:txbxContent>
                </v:textbox>
              </v:shape>
            </w:pict>
          </mc:Fallback>
        </mc:AlternateContent>
      </w:r>
      <w:r>
        <w:rPr>
          <w:noProof/>
          <w:lang w:eastAsia="en-US"/>
        </w:rPr>
        <mc:AlternateContent>
          <mc:Choice Requires="wps">
            <w:drawing>
              <wp:anchor distT="0" distB="0" distL="114300" distR="114300" simplePos="0" relativeHeight="251660288" behindDoc="0" locked="0" layoutInCell="0" allowOverlap="1" wp14:anchorId="23AB3F20" wp14:editId="23AB3F21">
                <wp:simplePos x="0" y="0"/>
                <wp:positionH relativeFrom="page">
                  <wp:posOffset>548640</wp:posOffset>
                </wp:positionH>
                <wp:positionV relativeFrom="page">
                  <wp:posOffset>9601200</wp:posOffset>
                </wp:positionV>
                <wp:extent cx="6675120" cy="274320"/>
                <wp:effectExtent l="0" t="0" r="11430" b="11430"/>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B3F37" w14:textId="77777777" w:rsidR="009E1018" w:rsidRPr="008C4638" w:rsidRDefault="009E1018" w:rsidP="008C46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WFootPg99" o:spid="_x0000_s1028" type="#_x0000_t202" style="position:absolute;left:0;text-align:left;margin-left:43.2pt;margin-top:756pt;width:525.6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" o:allowincell="f" filled="f" stroked="f">
                <v:textbox inset="0,0,0,0">
                  <w:txbxContent>
                    <w:p w:rsidR="009E1018" w:rsidRPr="008C4638" w:rsidRDefault="009E1018" w:rsidP="008C4638"/>
                  </w:txbxContent>
                </v:textbox>
                <w10:wrap anchorx="page" anchory="page"/>
              </v:shape>
            </w:pict>
          </mc:Fallback>
        </mc:AlternateContent>
      </w:r>
    </w:p>
    <w:sectPr w:rsidR="005216E6" w:rsidRPr="00EB2EFB" w:rsidSect="004F64EE">
      <w:footerReference w:type="even" r:id="rId12"/>
      <w:footerReference w:type="default" r:id="rId13"/>
      <w:footerReference w:type="first" r:id="rId14"/>
      <w:pgSz w:w="12240" w:h="15840" w:code="1"/>
      <w:pgMar w:top="720" w:right="864" w:bottom="1152" w:left="864"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3F24" w14:textId="77777777" w:rsidR="007C178B" w:rsidRDefault="007C178B">
      <w:r>
        <w:separator/>
      </w:r>
    </w:p>
  </w:endnote>
  <w:endnote w:type="continuationSeparator" w:id="0">
    <w:p w14:paraId="23AB3F25" w14:textId="77777777" w:rsidR="007C178B" w:rsidRDefault="007C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SABlack">
    <w:altName w:val="Calibr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3F26" w14:textId="77777777" w:rsidR="009E1018" w:rsidRDefault="009E1018" w:rsidP="00D94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AB3F27" w14:textId="77777777" w:rsidR="009E1018" w:rsidRDefault="009E1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3F28" w14:textId="77777777" w:rsidR="009E1018" w:rsidRDefault="009E1018" w:rsidP="00EE1419">
    <w:pPr>
      <w:pStyle w:val="Footer"/>
      <w:framePr w:wrap="around" w:vAnchor="text" w:hAnchor="margin" w:xAlign="center" w:y="1"/>
      <w:jc w:val="center"/>
      <w:rPr>
        <w:rStyle w:val="PageNumber"/>
        <w:sz w:val="20"/>
      </w:rPr>
    </w:pPr>
    <w:r>
      <w:rPr>
        <w:rStyle w:val="PageNumber"/>
        <w:sz w:val="20"/>
      </w:rPr>
      <w:t>Cover Page</w:t>
    </w:r>
  </w:p>
  <w:p w14:paraId="23AB3F29" w14:textId="77777777" w:rsidR="009E1018" w:rsidRPr="003649C9" w:rsidRDefault="009E1018" w:rsidP="00EB2EFB">
    <w:pPr>
      <w:pStyle w:val="Footer"/>
      <w:framePr w:wrap="around" w:vAnchor="text" w:hAnchor="margin" w:xAlign="center" w:y="1"/>
      <w:jc w:val="center"/>
      <w:rPr>
        <w:rStyle w:val="PageNumber"/>
        <w:sz w:val="20"/>
      </w:rPr>
    </w:pPr>
  </w:p>
  <w:p w14:paraId="23AB3F2A" w14:textId="77777777" w:rsidR="009E1018" w:rsidRDefault="009E1018" w:rsidP="00EB2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3F2B" w14:textId="77777777" w:rsidR="009E1018" w:rsidRDefault="009E1018" w:rsidP="00D94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AB3F2C" w14:textId="77777777" w:rsidR="009E1018" w:rsidRDefault="009E10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3F2D" w14:textId="13F1A6B7" w:rsidR="009E1018" w:rsidRDefault="009E1018" w:rsidP="00D94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4D5F">
      <w:rPr>
        <w:rStyle w:val="PageNumber"/>
        <w:noProof/>
      </w:rPr>
      <w:t>14</w:t>
    </w:r>
    <w:r>
      <w:rPr>
        <w:rStyle w:val="PageNumber"/>
      </w:rPr>
      <w:fldChar w:fldCharType="end"/>
    </w:r>
  </w:p>
  <w:p w14:paraId="23AB3F2E" w14:textId="77777777" w:rsidR="009E1018" w:rsidRDefault="009E1018">
    <w:pPr>
      <w:pStyle w:val="Footer"/>
    </w:pPr>
  </w:p>
  <w:p w14:paraId="23AB3F2F" w14:textId="77777777" w:rsidR="009E1018" w:rsidRDefault="009E1018" w:rsidP="00267D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3F30" w14:textId="77777777" w:rsidR="009E1018" w:rsidRDefault="009E1018">
    <w:pPr>
      <w:pStyle w:val="Footer"/>
    </w:pPr>
  </w:p>
  <w:p w14:paraId="23AB3F31" w14:textId="77777777" w:rsidR="009E1018" w:rsidRDefault="009E1018" w:rsidP="00FA0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B3F22" w14:textId="77777777" w:rsidR="007C178B" w:rsidRDefault="007C178B">
      <w:r>
        <w:separator/>
      </w:r>
    </w:p>
  </w:footnote>
  <w:footnote w:type="continuationSeparator" w:id="0">
    <w:p w14:paraId="23AB3F23" w14:textId="77777777" w:rsidR="007C178B" w:rsidRDefault="007C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68136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008D47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438E3C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AC6C34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9F4CD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E0A3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FED7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30F7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0C689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2B49D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Times New Roman"/>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5"/>
    <w:multiLevelType w:val="singleLevel"/>
    <w:tmpl w:val="A828A8C0"/>
    <w:name w:val="WW8Num5"/>
    <w:lvl w:ilvl="0">
      <w:start w:val="1"/>
      <w:numFmt w:val="lowerLetter"/>
      <w:lvlText w:val="(%1)"/>
      <w:lvlJc w:val="left"/>
      <w:pPr>
        <w:tabs>
          <w:tab w:val="num" w:pos="720"/>
        </w:tabs>
        <w:ind w:left="720" w:hanging="360"/>
      </w:pPr>
      <w:rPr>
        <w:rFonts w:cs="Times New Roman"/>
        <w:sz w:val="22"/>
        <w:szCs w:val="22"/>
      </w:rPr>
    </w:lvl>
  </w:abstractNum>
  <w:abstractNum w:abstractNumId="12" w15:restartNumberingAfterBreak="0">
    <w:nsid w:val="1C4530D3"/>
    <w:multiLevelType w:val="hybridMultilevel"/>
    <w:tmpl w:val="8A7C408A"/>
    <w:lvl w:ilvl="0" w:tplc="62025EAC">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30032D"/>
    <w:multiLevelType w:val="multilevel"/>
    <w:tmpl w:val="7F80BE2A"/>
    <w:lvl w:ilvl="0">
      <w:start w:val="1"/>
      <w:numFmt w:val="decimal"/>
      <w:lvlText w:val="%1."/>
      <w:lvlJc w:val="left"/>
      <w:pPr>
        <w:tabs>
          <w:tab w:val="decimal" w:pos="288"/>
        </w:tabs>
        <w:ind w:left="720"/>
      </w:pPr>
      <w:rPr>
        <w:rFonts w:ascii="Arial" w:hAnsi="Arial"/>
        <w:b/>
        <w:strike w:val="0"/>
        <w:color w:val="000000"/>
        <w:spacing w:val="-8"/>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822D01"/>
    <w:multiLevelType w:val="multilevel"/>
    <w:tmpl w:val="72B6459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15:restartNumberingAfterBreak="0">
    <w:nsid w:val="2AC34883"/>
    <w:multiLevelType w:val="hybridMultilevel"/>
    <w:tmpl w:val="A6D61156"/>
    <w:lvl w:ilvl="0" w:tplc="96C48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D22D8D"/>
    <w:multiLevelType w:val="hybridMultilevel"/>
    <w:tmpl w:val="044071C4"/>
    <w:lvl w:ilvl="0" w:tplc="07D832E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3C374F93"/>
    <w:multiLevelType w:val="multilevel"/>
    <w:tmpl w:val="50D8C378"/>
    <w:lvl w:ilvl="0">
      <w:start w:val="1"/>
      <w:numFmt w:val="decimal"/>
      <w:lvlRestart w:val="0"/>
      <w:pStyle w:val="123numhangingindent1"/>
      <w:lvlText w:val="%1."/>
      <w:lvlJc w:val="left"/>
      <w:pPr>
        <w:ind w:left="72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123numhangingindent2"/>
      <w:lvlText w:val="%2."/>
      <w:lvlJc w:val="left"/>
      <w:pPr>
        <w:ind w:left="144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2">
      <w:start w:val="1"/>
      <w:numFmt w:val="lowerRoman"/>
      <w:pStyle w:val="123numhangingindent3"/>
      <w:lvlText w:val="%3."/>
      <w:lvlJc w:val="left"/>
      <w:pPr>
        <w:ind w:left="216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3">
      <w:start w:val="1"/>
      <w:numFmt w:val="decimal"/>
      <w:pStyle w:val="123numhangingindent4"/>
      <w:lvlText w:val="(%4)"/>
      <w:lvlJc w:val="left"/>
      <w:pPr>
        <w:ind w:left="288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4">
      <w:start w:val="1"/>
      <w:numFmt w:val="lowerLetter"/>
      <w:pStyle w:val="123numhangingindent5"/>
      <w:lvlText w:val="(%5)"/>
      <w:lvlJc w:val="left"/>
      <w:pPr>
        <w:ind w:left="360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5">
      <w:start w:val="1"/>
      <w:numFmt w:val="lowerRoman"/>
      <w:pStyle w:val="123numhangingindent6"/>
      <w:lvlText w:val="(%6)"/>
      <w:lvlJc w:val="left"/>
      <w:pPr>
        <w:ind w:left="432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6">
      <w:start w:val="1"/>
      <w:numFmt w:val="none"/>
      <w:pStyle w:val="123numhangingindent7"/>
      <w:suff w:val="nothing"/>
      <w:lvlText w:val=""/>
      <w:lvlJc w:val="left"/>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7">
      <w:start w:val="1"/>
      <w:numFmt w:val="none"/>
      <w:pStyle w:val="123numhangingindent8"/>
      <w:suff w:val="nothing"/>
      <w:lvlText w:val=""/>
      <w:lvlJc w:val="left"/>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8">
      <w:start w:val="1"/>
      <w:numFmt w:val="none"/>
      <w:pStyle w:val="123numhangingindent9"/>
      <w:suff w:val="nothing"/>
      <w:lvlText w:val=""/>
      <w:lvlJc w:val="left"/>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abstractNum>
  <w:abstractNum w:abstractNumId="18" w15:restartNumberingAfterBreak="0">
    <w:nsid w:val="486A4D03"/>
    <w:multiLevelType w:val="multilevel"/>
    <w:tmpl w:val="4774790A"/>
    <w:lvl w:ilvl="0">
      <w:start w:val="1"/>
      <w:numFmt w:val="decimal"/>
      <w:lvlRestart w:val="0"/>
      <w:pStyle w:val="IcooperNum1"/>
      <w:lvlText w:val="%1."/>
      <w:lvlJc w:val="left"/>
      <w:pPr>
        <w:ind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1">
      <w:start w:val="1"/>
      <w:numFmt w:val="lowerLetter"/>
      <w:pStyle w:val="IcooperNum2"/>
      <w:lvlText w:val="%2."/>
      <w:lvlJc w:val="left"/>
      <w:pPr>
        <w:ind w:left="72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2">
      <w:start w:val="1"/>
      <w:numFmt w:val="lowerRoman"/>
      <w:pStyle w:val="IcooperNum3"/>
      <w:lvlText w:val="%3"/>
      <w:lvlJc w:val="left"/>
      <w:pPr>
        <w:ind w:left="144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3">
      <w:start w:val="1"/>
      <w:numFmt w:val="decimal"/>
      <w:pStyle w:val="IcooperNum4"/>
      <w:lvlText w:val="(%4)"/>
      <w:lvlJc w:val="left"/>
      <w:pPr>
        <w:ind w:left="216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4">
      <w:start w:val="1"/>
      <w:numFmt w:val="lowerLetter"/>
      <w:pStyle w:val="IcooperNum5"/>
      <w:lvlText w:val="(%5)"/>
      <w:lvlJc w:val="left"/>
      <w:pPr>
        <w:ind w:left="288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5">
      <w:start w:val="1"/>
      <w:numFmt w:val="none"/>
      <w:pStyle w:val="IcooperNum6"/>
      <w:suff w:val="nothing"/>
      <w:lvlText w:val=""/>
      <w:lvlJc w:val="left"/>
      <w:pPr>
        <w:ind w:left="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6">
      <w:start w:val="1"/>
      <w:numFmt w:val="none"/>
      <w:pStyle w:val="IcooperNum7"/>
      <w:suff w:val="nothing"/>
      <w:lvlText w:val=""/>
      <w:lvlJc w:val="left"/>
      <w:pPr>
        <w:ind w:left="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7">
      <w:start w:val="1"/>
      <w:numFmt w:val="none"/>
      <w:pStyle w:val="IcooperNum8"/>
      <w:suff w:val="nothing"/>
      <w:lvlText w:val=""/>
      <w:lvlJc w:val="left"/>
      <w:pPr>
        <w:ind w:left="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8">
      <w:start w:val="1"/>
      <w:numFmt w:val="none"/>
      <w:pStyle w:val="IcooperNum9"/>
      <w:suff w:val="nothing"/>
      <w:lvlText w:val=""/>
      <w:lvlJc w:val="left"/>
      <w:pPr>
        <w:ind w:left="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abstractNum>
  <w:abstractNum w:abstractNumId="19" w15:restartNumberingAfterBreak="0">
    <w:nsid w:val="4B9A0D34"/>
    <w:multiLevelType w:val="multilevel"/>
    <w:tmpl w:val="13EC9FCA"/>
    <w:lvl w:ilvl="0">
      <w:start w:val="1"/>
      <w:numFmt w:val="decimal"/>
      <w:lvlRestart w:val="0"/>
      <w:pStyle w:val="123num1"/>
      <w:lvlText w:val="%1."/>
      <w:lvlJc w:val="left"/>
      <w:pPr>
        <w:ind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1">
      <w:start w:val="1"/>
      <w:numFmt w:val="lowerLetter"/>
      <w:pStyle w:val="123num2"/>
      <w:lvlText w:val="(%2)"/>
      <w:lvlJc w:val="left"/>
      <w:pPr>
        <w:ind w:left="72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2">
      <w:start w:val="1"/>
      <w:numFmt w:val="lowerRoman"/>
      <w:pStyle w:val="123num3"/>
      <w:lvlText w:val="(%3)"/>
      <w:lvlJc w:val="left"/>
      <w:pPr>
        <w:ind w:left="144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3">
      <w:start w:val="1"/>
      <w:numFmt w:val="upperLetter"/>
      <w:pStyle w:val="123num4"/>
      <w:lvlText w:val="(%4)"/>
      <w:lvlJc w:val="left"/>
      <w:pPr>
        <w:ind w:left="216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4">
      <w:start w:val="1"/>
      <w:numFmt w:val="lowerRoman"/>
      <w:pStyle w:val="123num5"/>
      <w:lvlText w:val="%5."/>
      <w:lvlJc w:val="left"/>
      <w:pPr>
        <w:ind w:left="4968" w:hanging="648"/>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5">
      <w:start w:val="1"/>
      <w:numFmt w:val="lowerLetter"/>
      <w:pStyle w:val="123num6"/>
      <w:lvlText w:val="%6."/>
      <w:lvlJc w:val="left"/>
      <w:pPr>
        <w:ind w:left="576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6">
      <w:start w:val="1"/>
      <w:numFmt w:val="none"/>
      <w:pStyle w:val="123num7"/>
      <w:suff w:val="nothing"/>
      <w:lvlText w:val=""/>
      <w:lvlJc w:val="left"/>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7">
      <w:start w:val="1"/>
      <w:numFmt w:val="none"/>
      <w:pStyle w:val="123num8"/>
      <w:suff w:val="nothing"/>
      <w:lvlText w:val=""/>
      <w:lvlJc w:val="left"/>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8">
      <w:start w:val="1"/>
      <w:numFmt w:val="none"/>
      <w:pStyle w:val="123num9"/>
      <w:suff w:val="nothing"/>
      <w:lvlText w:val=""/>
      <w:lvlJc w:val="left"/>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abstractNum>
  <w:abstractNum w:abstractNumId="20" w15:restartNumberingAfterBreak="0">
    <w:nsid w:val="5D624612"/>
    <w:multiLevelType w:val="multilevel"/>
    <w:tmpl w:val="7276A800"/>
    <w:lvl w:ilvl="0">
      <w:start w:val="1"/>
      <w:numFmt w:val="decimal"/>
      <w:lvlRestart w:val="0"/>
      <w:pStyle w:val="testandard1"/>
      <w:lvlText w:val="%1."/>
      <w:lvlJc w:val="left"/>
      <w:pPr>
        <w:ind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1">
      <w:start w:val="1"/>
      <w:numFmt w:val="lowerLetter"/>
      <w:pStyle w:val="testandard2"/>
      <w:lvlText w:val="%2."/>
      <w:lvlJc w:val="left"/>
      <w:pPr>
        <w:ind w:firstLine="2088"/>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2">
      <w:start w:val="1"/>
      <w:numFmt w:val="lowerRoman"/>
      <w:pStyle w:val="testandard3"/>
      <w:lvlText w:val="%3"/>
      <w:lvlJc w:val="left"/>
      <w:pPr>
        <w:ind w:firstLine="288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3">
      <w:start w:val="1"/>
      <w:numFmt w:val="decimal"/>
      <w:pStyle w:val="testandard4"/>
      <w:lvlText w:val="(%4)"/>
      <w:lvlJc w:val="left"/>
      <w:pPr>
        <w:ind w:firstLine="360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4">
      <w:start w:val="1"/>
      <w:numFmt w:val="lowerLetter"/>
      <w:pStyle w:val="testandard5"/>
      <w:lvlText w:val="(%5)"/>
      <w:lvlJc w:val="left"/>
      <w:pPr>
        <w:ind w:firstLine="43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5">
      <w:start w:val="1"/>
      <w:numFmt w:val="lowerRoman"/>
      <w:pStyle w:val="testandard6"/>
      <w:lvlText w:val="(%6)"/>
      <w:lvlJc w:val="left"/>
      <w:pPr>
        <w:ind w:firstLine="50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rPr>
    </w:lvl>
    <w:lvl w:ilvl="6">
      <w:start w:val="1"/>
      <w:numFmt w:val="none"/>
      <w:pStyle w:val="testandard7"/>
      <w:suff w:val="nothing"/>
      <w:lvlText w:val=""/>
      <w:lvlJc w:val="left"/>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7">
      <w:start w:val="1"/>
      <w:numFmt w:val="none"/>
      <w:pStyle w:val="testandard8"/>
      <w:suff w:val="nothing"/>
      <w:lvlText w:val=""/>
      <w:lvlJc w:val="left"/>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8">
      <w:start w:val="1"/>
      <w:numFmt w:val="none"/>
      <w:pStyle w:val="testandard9"/>
      <w:suff w:val="nothing"/>
      <w:lvlText w:val=""/>
      <w:lvlJc w:val="left"/>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abstractNum>
  <w:abstractNum w:abstractNumId="21" w15:restartNumberingAfterBreak="0">
    <w:nsid w:val="62871046"/>
    <w:multiLevelType w:val="multilevel"/>
    <w:tmpl w:val="BE1E1430"/>
    <w:lvl w:ilvl="0">
      <w:start w:val="1"/>
      <w:numFmt w:val="upperRoman"/>
      <w:lvlRestart w:val="0"/>
      <w:pStyle w:val="CLNumbering1"/>
      <w:lvlText w:val="%1."/>
      <w:lvlJc w:val="left"/>
      <w:pPr>
        <w:ind w:left="7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CLNumbering2"/>
      <w:lvlText w:val="%2."/>
      <w:lvlJc w:val="left"/>
      <w:pPr>
        <w:ind w:left="14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CLNumbering3"/>
      <w:lvlText w:val="%3."/>
      <w:lvlJc w:val="left"/>
      <w:pPr>
        <w:ind w:left="21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CLNumbering4"/>
      <w:lvlText w:val="%4."/>
      <w:lvlJc w:val="left"/>
      <w:pPr>
        <w:ind w:left="28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lowerLetter"/>
      <w:pStyle w:val="CLNumbering5"/>
      <w:lvlText w:val="(%5)"/>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lowerRoman"/>
      <w:pStyle w:val="CLNumbering6"/>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none"/>
      <w:pStyle w:val="CLNumbering7"/>
      <w:suff w:val="nothing"/>
      <w:lvlText w:val=""/>
      <w:lvlJc w:val="left"/>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none"/>
      <w:pStyle w:val="CLNumbering8"/>
      <w:suff w:val="nothing"/>
      <w:lvlText w:val=""/>
      <w:lvlJc w:val="left"/>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pStyle w:val="CLNumbering9"/>
      <w:suff w:val="nothing"/>
      <w:lvlText w:val=""/>
      <w:lvlJc w:val="left"/>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22" w15:restartNumberingAfterBreak="0">
    <w:nsid w:val="697B5F28"/>
    <w:multiLevelType w:val="multilevel"/>
    <w:tmpl w:val="D2D82E4C"/>
    <w:lvl w:ilvl="0">
      <w:start w:val="1"/>
      <w:numFmt w:val="decimal"/>
      <w:lvlRestart w:val="0"/>
      <w:pStyle w:val="CorpNumbering1"/>
      <w:lvlText w:val="%1."/>
      <w:lvlJc w:val="left"/>
      <w:pPr>
        <w:ind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1">
      <w:start w:val="1"/>
      <w:numFmt w:val="lowerLetter"/>
      <w:pStyle w:val="CorpNumbering2"/>
      <w:lvlText w:val="(%2)"/>
      <w:lvlJc w:val="left"/>
      <w:pPr>
        <w:ind w:left="72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Roman"/>
      <w:pStyle w:val="CorpNumbering3"/>
      <w:lvlText w:val="(%3)"/>
      <w:lvlJc w:val="left"/>
      <w:pPr>
        <w:ind w:left="216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decimal"/>
      <w:pStyle w:val="CorpNumbering4"/>
      <w:lvlText w:val="(%4)"/>
      <w:lvlJc w:val="left"/>
      <w:pPr>
        <w:ind w:left="288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lowerLetter"/>
      <w:pStyle w:val="CorpNumbering5"/>
      <w:lvlText w:val="%5."/>
      <w:lvlJc w:val="left"/>
      <w:pPr>
        <w:ind w:left="360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lowerRoman"/>
      <w:pStyle w:val="CorpNumbering6"/>
      <w:lvlText w:val="%6."/>
      <w:lvlJc w:val="left"/>
      <w:pPr>
        <w:ind w:left="432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decimal"/>
      <w:pStyle w:val="CorpNumbering7"/>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none"/>
      <w:pStyle w:val="CorpNumbering8"/>
      <w:suff w:val="nothing"/>
      <w:lvlText w:val=""/>
      <w:lvlJc w:val="left"/>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pStyle w:val="CorpNumbering9"/>
      <w:suff w:val="nothing"/>
      <w:lvlText w:val=""/>
      <w:lvlJc w:val="left"/>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23" w15:restartNumberingAfterBreak="0">
    <w:nsid w:val="6B0E4278"/>
    <w:multiLevelType w:val="multilevel"/>
    <w:tmpl w:val="8BB644CC"/>
    <w:lvl w:ilvl="0">
      <w:start w:val="1"/>
      <w:numFmt w:val="bullet"/>
      <w:lvlText w:val=""/>
      <w:lvlJc w:val="left"/>
      <w:pPr>
        <w:tabs>
          <w:tab w:val="decimal" w:pos="432"/>
        </w:tabs>
        <w:ind w:left="720"/>
      </w:pPr>
      <w:rPr>
        <w:rFonts w:ascii="Symbol" w:hAnsi="Symbol"/>
        <w:b/>
        <w:strike w:val="0"/>
        <w:color w:val="000000"/>
        <w:spacing w:val="-1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A01B4E"/>
    <w:multiLevelType w:val="hybridMultilevel"/>
    <w:tmpl w:val="DEA02F00"/>
    <w:lvl w:ilvl="0" w:tplc="2C8076D2">
      <w:start w:val="2"/>
      <w:numFmt w:val="decimal"/>
      <w:lvlText w:val="(%1)"/>
      <w:lvlJc w:val="left"/>
      <w:pPr>
        <w:tabs>
          <w:tab w:val="num" w:pos="450"/>
        </w:tabs>
        <w:ind w:left="45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6DED754F"/>
    <w:multiLevelType w:val="hybridMultilevel"/>
    <w:tmpl w:val="AEE41762"/>
    <w:lvl w:ilvl="0" w:tplc="FA4E28E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9C01F3"/>
    <w:multiLevelType w:val="hybridMultilevel"/>
    <w:tmpl w:val="19484328"/>
    <w:lvl w:ilvl="0" w:tplc="3A3A335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2"/>
  </w:num>
  <w:num w:numId="3">
    <w:abstractNumId w:val="20"/>
  </w:num>
  <w:num w:numId="4">
    <w:abstractNumId w:val="19"/>
  </w:num>
  <w:num w:numId="5">
    <w:abstractNumId w:val="18"/>
  </w:num>
  <w:num w:numId="6">
    <w:abstractNumId w:val="17"/>
  </w:num>
  <w:num w:numId="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12"/>
  </w:num>
  <w:num w:numId="22">
    <w:abstractNumId w:val="25"/>
  </w:num>
  <w:num w:numId="23">
    <w:abstractNumId w:val="11"/>
  </w:num>
  <w:num w:numId="24">
    <w:abstractNumId w:val="14"/>
  </w:num>
  <w:num w:numId="25">
    <w:abstractNumId w:val="13"/>
  </w:num>
  <w:num w:numId="26">
    <w:abstractNumId w:val="23"/>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27"/>
    <w:rsid w:val="000012A9"/>
    <w:rsid w:val="0001023C"/>
    <w:rsid w:val="0001205E"/>
    <w:rsid w:val="000156D7"/>
    <w:rsid w:val="00021870"/>
    <w:rsid w:val="000226DE"/>
    <w:rsid w:val="00024857"/>
    <w:rsid w:val="00026138"/>
    <w:rsid w:val="0002672E"/>
    <w:rsid w:val="000422D3"/>
    <w:rsid w:val="00042354"/>
    <w:rsid w:val="000461A8"/>
    <w:rsid w:val="00047258"/>
    <w:rsid w:val="00053F41"/>
    <w:rsid w:val="0005638F"/>
    <w:rsid w:val="00062C42"/>
    <w:rsid w:val="000649A6"/>
    <w:rsid w:val="000704C7"/>
    <w:rsid w:val="00071928"/>
    <w:rsid w:val="000768AD"/>
    <w:rsid w:val="00083886"/>
    <w:rsid w:val="00083F2A"/>
    <w:rsid w:val="000965FF"/>
    <w:rsid w:val="00097042"/>
    <w:rsid w:val="000A0727"/>
    <w:rsid w:val="000A1C1B"/>
    <w:rsid w:val="000A3C06"/>
    <w:rsid w:val="000A4641"/>
    <w:rsid w:val="000A4BA4"/>
    <w:rsid w:val="000A6CA3"/>
    <w:rsid w:val="000A78BB"/>
    <w:rsid w:val="000A7FCF"/>
    <w:rsid w:val="000B08C5"/>
    <w:rsid w:val="000B2078"/>
    <w:rsid w:val="000B494C"/>
    <w:rsid w:val="000B51AA"/>
    <w:rsid w:val="000B613A"/>
    <w:rsid w:val="000C0F08"/>
    <w:rsid w:val="000D2DFB"/>
    <w:rsid w:val="000D4083"/>
    <w:rsid w:val="000D5FB0"/>
    <w:rsid w:val="000D66D9"/>
    <w:rsid w:val="000D680F"/>
    <w:rsid w:val="000D73D9"/>
    <w:rsid w:val="000D7CE5"/>
    <w:rsid w:val="000E0254"/>
    <w:rsid w:val="000E31E6"/>
    <w:rsid w:val="000E4EFF"/>
    <w:rsid w:val="000F4865"/>
    <w:rsid w:val="00101214"/>
    <w:rsid w:val="0010322A"/>
    <w:rsid w:val="00112F3C"/>
    <w:rsid w:val="00113009"/>
    <w:rsid w:val="001177A4"/>
    <w:rsid w:val="001263E7"/>
    <w:rsid w:val="0014140F"/>
    <w:rsid w:val="00143329"/>
    <w:rsid w:val="001433AE"/>
    <w:rsid w:val="001440E9"/>
    <w:rsid w:val="00151D3F"/>
    <w:rsid w:val="0015263C"/>
    <w:rsid w:val="0015364C"/>
    <w:rsid w:val="001538E6"/>
    <w:rsid w:val="001553DF"/>
    <w:rsid w:val="00156216"/>
    <w:rsid w:val="00160F09"/>
    <w:rsid w:val="00162567"/>
    <w:rsid w:val="001639AB"/>
    <w:rsid w:val="00163FA3"/>
    <w:rsid w:val="001640D2"/>
    <w:rsid w:val="00166105"/>
    <w:rsid w:val="001730B6"/>
    <w:rsid w:val="00173F1F"/>
    <w:rsid w:val="001745D2"/>
    <w:rsid w:val="00180C1A"/>
    <w:rsid w:val="001810AC"/>
    <w:rsid w:val="00181125"/>
    <w:rsid w:val="00184E66"/>
    <w:rsid w:val="00186217"/>
    <w:rsid w:val="001866C1"/>
    <w:rsid w:val="00192D07"/>
    <w:rsid w:val="001938DA"/>
    <w:rsid w:val="001A1858"/>
    <w:rsid w:val="001A21F8"/>
    <w:rsid w:val="001A52CD"/>
    <w:rsid w:val="001A5A64"/>
    <w:rsid w:val="001B0367"/>
    <w:rsid w:val="001B0F64"/>
    <w:rsid w:val="001B4CE9"/>
    <w:rsid w:val="001B6BA1"/>
    <w:rsid w:val="001B7ED5"/>
    <w:rsid w:val="001C2974"/>
    <w:rsid w:val="001C581A"/>
    <w:rsid w:val="001C5D3C"/>
    <w:rsid w:val="001D2C86"/>
    <w:rsid w:val="001D5952"/>
    <w:rsid w:val="001D7806"/>
    <w:rsid w:val="001E371A"/>
    <w:rsid w:val="001F38BE"/>
    <w:rsid w:val="00201F82"/>
    <w:rsid w:val="002037CC"/>
    <w:rsid w:val="00204475"/>
    <w:rsid w:val="002048F2"/>
    <w:rsid w:val="00204AB2"/>
    <w:rsid w:val="0021128C"/>
    <w:rsid w:val="00211CE1"/>
    <w:rsid w:val="00212EFF"/>
    <w:rsid w:val="002139D3"/>
    <w:rsid w:val="00217C9E"/>
    <w:rsid w:val="002243D3"/>
    <w:rsid w:val="00227BDA"/>
    <w:rsid w:val="002305EF"/>
    <w:rsid w:val="00244BFC"/>
    <w:rsid w:val="00251526"/>
    <w:rsid w:val="002548C3"/>
    <w:rsid w:val="002549DA"/>
    <w:rsid w:val="00262621"/>
    <w:rsid w:val="00264844"/>
    <w:rsid w:val="00267DCA"/>
    <w:rsid w:val="00271742"/>
    <w:rsid w:val="00276A84"/>
    <w:rsid w:val="00284A3C"/>
    <w:rsid w:val="00287BCA"/>
    <w:rsid w:val="002916F2"/>
    <w:rsid w:val="00295FEF"/>
    <w:rsid w:val="00297CAC"/>
    <w:rsid w:val="002A1483"/>
    <w:rsid w:val="002A2705"/>
    <w:rsid w:val="002A2D8F"/>
    <w:rsid w:val="002B1248"/>
    <w:rsid w:val="002B7434"/>
    <w:rsid w:val="002C13BA"/>
    <w:rsid w:val="002D10B9"/>
    <w:rsid w:val="002E163A"/>
    <w:rsid w:val="002E20C0"/>
    <w:rsid w:val="002E2C5F"/>
    <w:rsid w:val="002E4228"/>
    <w:rsid w:val="002F0364"/>
    <w:rsid w:val="002F4261"/>
    <w:rsid w:val="002F58DE"/>
    <w:rsid w:val="003064C8"/>
    <w:rsid w:val="00312777"/>
    <w:rsid w:val="00313EAA"/>
    <w:rsid w:val="0032356B"/>
    <w:rsid w:val="003249F1"/>
    <w:rsid w:val="00333C1A"/>
    <w:rsid w:val="0034128C"/>
    <w:rsid w:val="00342DB7"/>
    <w:rsid w:val="00346C35"/>
    <w:rsid w:val="003503DE"/>
    <w:rsid w:val="00351673"/>
    <w:rsid w:val="00351869"/>
    <w:rsid w:val="00353844"/>
    <w:rsid w:val="0036413D"/>
    <w:rsid w:val="003649C9"/>
    <w:rsid w:val="003714E4"/>
    <w:rsid w:val="003746BF"/>
    <w:rsid w:val="003757E1"/>
    <w:rsid w:val="00377630"/>
    <w:rsid w:val="00380FE1"/>
    <w:rsid w:val="00383BD7"/>
    <w:rsid w:val="00385ACB"/>
    <w:rsid w:val="00386A7C"/>
    <w:rsid w:val="0039591D"/>
    <w:rsid w:val="003B1C1A"/>
    <w:rsid w:val="003B27FE"/>
    <w:rsid w:val="003B4D5F"/>
    <w:rsid w:val="003B6307"/>
    <w:rsid w:val="003C07C3"/>
    <w:rsid w:val="003C326B"/>
    <w:rsid w:val="003C4C45"/>
    <w:rsid w:val="003C6825"/>
    <w:rsid w:val="003D1213"/>
    <w:rsid w:val="003D5BE4"/>
    <w:rsid w:val="003D7A61"/>
    <w:rsid w:val="003E281C"/>
    <w:rsid w:val="003E51EC"/>
    <w:rsid w:val="003E6550"/>
    <w:rsid w:val="003E6F79"/>
    <w:rsid w:val="003E751B"/>
    <w:rsid w:val="003F2D36"/>
    <w:rsid w:val="003F4F32"/>
    <w:rsid w:val="003F71AF"/>
    <w:rsid w:val="00402D48"/>
    <w:rsid w:val="00403DA0"/>
    <w:rsid w:val="00410E71"/>
    <w:rsid w:val="0041203F"/>
    <w:rsid w:val="00412651"/>
    <w:rsid w:val="00416346"/>
    <w:rsid w:val="00420744"/>
    <w:rsid w:val="004220B5"/>
    <w:rsid w:val="00422323"/>
    <w:rsid w:val="004225A2"/>
    <w:rsid w:val="00424436"/>
    <w:rsid w:val="004245DB"/>
    <w:rsid w:val="00424BEE"/>
    <w:rsid w:val="00431EAE"/>
    <w:rsid w:val="00431FE5"/>
    <w:rsid w:val="00433511"/>
    <w:rsid w:val="00436F41"/>
    <w:rsid w:val="00440BBC"/>
    <w:rsid w:val="00442AC6"/>
    <w:rsid w:val="00451825"/>
    <w:rsid w:val="00452967"/>
    <w:rsid w:val="00454757"/>
    <w:rsid w:val="00454BF3"/>
    <w:rsid w:val="00455230"/>
    <w:rsid w:val="00455D07"/>
    <w:rsid w:val="00457D14"/>
    <w:rsid w:val="00463669"/>
    <w:rsid w:val="004661C6"/>
    <w:rsid w:val="00466BD2"/>
    <w:rsid w:val="00471A5A"/>
    <w:rsid w:val="004843E4"/>
    <w:rsid w:val="004845FE"/>
    <w:rsid w:val="00492121"/>
    <w:rsid w:val="00493838"/>
    <w:rsid w:val="00495A2D"/>
    <w:rsid w:val="004A0315"/>
    <w:rsid w:val="004B7C21"/>
    <w:rsid w:val="004C33C1"/>
    <w:rsid w:val="004D153E"/>
    <w:rsid w:val="004E726E"/>
    <w:rsid w:val="004F00AF"/>
    <w:rsid w:val="004F08EC"/>
    <w:rsid w:val="004F48AA"/>
    <w:rsid w:val="004F64EE"/>
    <w:rsid w:val="00500F30"/>
    <w:rsid w:val="00500F66"/>
    <w:rsid w:val="0050326A"/>
    <w:rsid w:val="0050417E"/>
    <w:rsid w:val="00505C71"/>
    <w:rsid w:val="00507C07"/>
    <w:rsid w:val="00510E4E"/>
    <w:rsid w:val="0051286A"/>
    <w:rsid w:val="00514F50"/>
    <w:rsid w:val="005215FE"/>
    <w:rsid w:val="005216E6"/>
    <w:rsid w:val="00525D14"/>
    <w:rsid w:val="00527668"/>
    <w:rsid w:val="00531299"/>
    <w:rsid w:val="00541957"/>
    <w:rsid w:val="00547245"/>
    <w:rsid w:val="00554BB9"/>
    <w:rsid w:val="00554FFD"/>
    <w:rsid w:val="00557344"/>
    <w:rsid w:val="00560451"/>
    <w:rsid w:val="00566E8F"/>
    <w:rsid w:val="00567B51"/>
    <w:rsid w:val="00572434"/>
    <w:rsid w:val="00574E11"/>
    <w:rsid w:val="005759CC"/>
    <w:rsid w:val="00580A5A"/>
    <w:rsid w:val="00581C5B"/>
    <w:rsid w:val="00582007"/>
    <w:rsid w:val="0058255D"/>
    <w:rsid w:val="00583598"/>
    <w:rsid w:val="0058590F"/>
    <w:rsid w:val="005860ED"/>
    <w:rsid w:val="00591326"/>
    <w:rsid w:val="005A0C04"/>
    <w:rsid w:val="005A3AFC"/>
    <w:rsid w:val="005A3BCB"/>
    <w:rsid w:val="005A5D5F"/>
    <w:rsid w:val="005A6845"/>
    <w:rsid w:val="005A68B0"/>
    <w:rsid w:val="005A73F9"/>
    <w:rsid w:val="005B397D"/>
    <w:rsid w:val="005B3A82"/>
    <w:rsid w:val="005B717C"/>
    <w:rsid w:val="005B7521"/>
    <w:rsid w:val="005D237A"/>
    <w:rsid w:val="005D334B"/>
    <w:rsid w:val="005D3907"/>
    <w:rsid w:val="005D6231"/>
    <w:rsid w:val="005D6D0E"/>
    <w:rsid w:val="005D724A"/>
    <w:rsid w:val="005E2B95"/>
    <w:rsid w:val="005E3184"/>
    <w:rsid w:val="005E3499"/>
    <w:rsid w:val="005E7154"/>
    <w:rsid w:val="005E7A17"/>
    <w:rsid w:val="005F11C2"/>
    <w:rsid w:val="00603316"/>
    <w:rsid w:val="00603D85"/>
    <w:rsid w:val="00603F10"/>
    <w:rsid w:val="006044A3"/>
    <w:rsid w:val="00607F5B"/>
    <w:rsid w:val="00611441"/>
    <w:rsid w:val="00614745"/>
    <w:rsid w:val="00615AE4"/>
    <w:rsid w:val="00620703"/>
    <w:rsid w:val="00622D4D"/>
    <w:rsid w:val="00623105"/>
    <w:rsid w:val="00624680"/>
    <w:rsid w:val="00630A4F"/>
    <w:rsid w:val="00630E2F"/>
    <w:rsid w:val="006316B9"/>
    <w:rsid w:val="0063180F"/>
    <w:rsid w:val="006365BF"/>
    <w:rsid w:val="00641316"/>
    <w:rsid w:val="006415DA"/>
    <w:rsid w:val="0064242D"/>
    <w:rsid w:val="00646333"/>
    <w:rsid w:val="00647E18"/>
    <w:rsid w:val="00650475"/>
    <w:rsid w:val="00654C71"/>
    <w:rsid w:val="00655474"/>
    <w:rsid w:val="006603F0"/>
    <w:rsid w:val="00663428"/>
    <w:rsid w:val="006828BF"/>
    <w:rsid w:val="0068293F"/>
    <w:rsid w:val="00687459"/>
    <w:rsid w:val="00690FAB"/>
    <w:rsid w:val="00696500"/>
    <w:rsid w:val="006967C3"/>
    <w:rsid w:val="00697175"/>
    <w:rsid w:val="006A011F"/>
    <w:rsid w:val="006A2CBB"/>
    <w:rsid w:val="006B1807"/>
    <w:rsid w:val="006C271D"/>
    <w:rsid w:val="006C7A2F"/>
    <w:rsid w:val="006D03BF"/>
    <w:rsid w:val="006D325F"/>
    <w:rsid w:val="006D39D3"/>
    <w:rsid w:val="006D55C1"/>
    <w:rsid w:val="006D7710"/>
    <w:rsid w:val="006D7EA2"/>
    <w:rsid w:val="006E27C3"/>
    <w:rsid w:val="006E5DB0"/>
    <w:rsid w:val="006F12B7"/>
    <w:rsid w:val="006F31D2"/>
    <w:rsid w:val="006F38A1"/>
    <w:rsid w:val="006F4B26"/>
    <w:rsid w:val="006F60E0"/>
    <w:rsid w:val="00700282"/>
    <w:rsid w:val="00706AD0"/>
    <w:rsid w:val="00715356"/>
    <w:rsid w:val="0071627D"/>
    <w:rsid w:val="00722FDF"/>
    <w:rsid w:val="007247F7"/>
    <w:rsid w:val="007315A4"/>
    <w:rsid w:val="00735023"/>
    <w:rsid w:val="00737EC6"/>
    <w:rsid w:val="0074231C"/>
    <w:rsid w:val="00744800"/>
    <w:rsid w:val="0074526B"/>
    <w:rsid w:val="007516D0"/>
    <w:rsid w:val="00765A1A"/>
    <w:rsid w:val="00767CC5"/>
    <w:rsid w:val="00774683"/>
    <w:rsid w:val="00780A8E"/>
    <w:rsid w:val="00783964"/>
    <w:rsid w:val="00784018"/>
    <w:rsid w:val="00790765"/>
    <w:rsid w:val="00796AB8"/>
    <w:rsid w:val="007A0252"/>
    <w:rsid w:val="007A5F42"/>
    <w:rsid w:val="007B4896"/>
    <w:rsid w:val="007C178B"/>
    <w:rsid w:val="007C1826"/>
    <w:rsid w:val="007D019D"/>
    <w:rsid w:val="007D0EC6"/>
    <w:rsid w:val="007D1097"/>
    <w:rsid w:val="007D34CC"/>
    <w:rsid w:val="007D3EAA"/>
    <w:rsid w:val="007D4C8D"/>
    <w:rsid w:val="007E5769"/>
    <w:rsid w:val="007E685F"/>
    <w:rsid w:val="007E6A1D"/>
    <w:rsid w:val="007E6C3B"/>
    <w:rsid w:val="007F4D62"/>
    <w:rsid w:val="007F72F6"/>
    <w:rsid w:val="00802FD3"/>
    <w:rsid w:val="00803927"/>
    <w:rsid w:val="00804964"/>
    <w:rsid w:val="00805BCF"/>
    <w:rsid w:val="008117E6"/>
    <w:rsid w:val="00821615"/>
    <w:rsid w:val="00825F70"/>
    <w:rsid w:val="00833494"/>
    <w:rsid w:val="00836AFD"/>
    <w:rsid w:val="008408FC"/>
    <w:rsid w:val="008419E6"/>
    <w:rsid w:val="00841FA4"/>
    <w:rsid w:val="00842DCE"/>
    <w:rsid w:val="00842E59"/>
    <w:rsid w:val="008444FF"/>
    <w:rsid w:val="00851E3C"/>
    <w:rsid w:val="008522A4"/>
    <w:rsid w:val="0085329A"/>
    <w:rsid w:val="00854EF5"/>
    <w:rsid w:val="00856EA0"/>
    <w:rsid w:val="0086116E"/>
    <w:rsid w:val="0086328F"/>
    <w:rsid w:val="0086449F"/>
    <w:rsid w:val="00864F91"/>
    <w:rsid w:val="008908A7"/>
    <w:rsid w:val="00893B71"/>
    <w:rsid w:val="00895429"/>
    <w:rsid w:val="008A0620"/>
    <w:rsid w:val="008A321C"/>
    <w:rsid w:val="008A723C"/>
    <w:rsid w:val="008B3AB1"/>
    <w:rsid w:val="008B470A"/>
    <w:rsid w:val="008B52DE"/>
    <w:rsid w:val="008C0B0F"/>
    <w:rsid w:val="008C1B04"/>
    <w:rsid w:val="008C4638"/>
    <w:rsid w:val="008D01E4"/>
    <w:rsid w:val="008D51EA"/>
    <w:rsid w:val="008E2D3F"/>
    <w:rsid w:val="008E4194"/>
    <w:rsid w:val="008E4949"/>
    <w:rsid w:val="008E5074"/>
    <w:rsid w:val="008E63D2"/>
    <w:rsid w:val="008F3D70"/>
    <w:rsid w:val="0090483F"/>
    <w:rsid w:val="00904966"/>
    <w:rsid w:val="00904DE1"/>
    <w:rsid w:val="00904F54"/>
    <w:rsid w:val="00912835"/>
    <w:rsid w:val="009144D3"/>
    <w:rsid w:val="00915923"/>
    <w:rsid w:val="00916366"/>
    <w:rsid w:val="00916DA1"/>
    <w:rsid w:val="0091781E"/>
    <w:rsid w:val="00922562"/>
    <w:rsid w:val="0092273F"/>
    <w:rsid w:val="00923369"/>
    <w:rsid w:val="009235FE"/>
    <w:rsid w:val="00924027"/>
    <w:rsid w:val="00925DB9"/>
    <w:rsid w:val="009271A8"/>
    <w:rsid w:val="00930232"/>
    <w:rsid w:val="009303B9"/>
    <w:rsid w:val="00932CC0"/>
    <w:rsid w:val="009330F6"/>
    <w:rsid w:val="00934BAB"/>
    <w:rsid w:val="00934D76"/>
    <w:rsid w:val="00936C2C"/>
    <w:rsid w:val="009372CF"/>
    <w:rsid w:val="00940D3A"/>
    <w:rsid w:val="00943AC8"/>
    <w:rsid w:val="0094592C"/>
    <w:rsid w:val="00945B62"/>
    <w:rsid w:val="00946CCE"/>
    <w:rsid w:val="00952B3D"/>
    <w:rsid w:val="00962DAB"/>
    <w:rsid w:val="0096573C"/>
    <w:rsid w:val="00966716"/>
    <w:rsid w:val="00967E2C"/>
    <w:rsid w:val="00970B2D"/>
    <w:rsid w:val="00971238"/>
    <w:rsid w:val="00976C29"/>
    <w:rsid w:val="00976F38"/>
    <w:rsid w:val="00981AD9"/>
    <w:rsid w:val="0098206A"/>
    <w:rsid w:val="009869C4"/>
    <w:rsid w:val="009905EF"/>
    <w:rsid w:val="0099197F"/>
    <w:rsid w:val="00994734"/>
    <w:rsid w:val="009A1B0A"/>
    <w:rsid w:val="009A7B4B"/>
    <w:rsid w:val="009B2671"/>
    <w:rsid w:val="009B46A4"/>
    <w:rsid w:val="009B4C81"/>
    <w:rsid w:val="009B62C5"/>
    <w:rsid w:val="009B6F4F"/>
    <w:rsid w:val="009C4238"/>
    <w:rsid w:val="009C6C6D"/>
    <w:rsid w:val="009D5427"/>
    <w:rsid w:val="009E1018"/>
    <w:rsid w:val="009E67AD"/>
    <w:rsid w:val="009E7745"/>
    <w:rsid w:val="009E7E87"/>
    <w:rsid w:val="009E7EFF"/>
    <w:rsid w:val="009F111B"/>
    <w:rsid w:val="009F38D8"/>
    <w:rsid w:val="009F48C3"/>
    <w:rsid w:val="009F4A2A"/>
    <w:rsid w:val="009F6248"/>
    <w:rsid w:val="00A00086"/>
    <w:rsid w:val="00A056C7"/>
    <w:rsid w:val="00A06614"/>
    <w:rsid w:val="00A11C75"/>
    <w:rsid w:val="00A155E1"/>
    <w:rsid w:val="00A15F53"/>
    <w:rsid w:val="00A16D64"/>
    <w:rsid w:val="00A22D4D"/>
    <w:rsid w:val="00A2456D"/>
    <w:rsid w:val="00A24CEA"/>
    <w:rsid w:val="00A27DE4"/>
    <w:rsid w:val="00A30255"/>
    <w:rsid w:val="00A33C92"/>
    <w:rsid w:val="00A3751D"/>
    <w:rsid w:val="00A4657F"/>
    <w:rsid w:val="00A51DA3"/>
    <w:rsid w:val="00A531F6"/>
    <w:rsid w:val="00A54D53"/>
    <w:rsid w:val="00A55F5C"/>
    <w:rsid w:val="00A56AFA"/>
    <w:rsid w:val="00A60FFF"/>
    <w:rsid w:val="00A65456"/>
    <w:rsid w:val="00A6624D"/>
    <w:rsid w:val="00A66960"/>
    <w:rsid w:val="00A6779E"/>
    <w:rsid w:val="00A7548A"/>
    <w:rsid w:val="00A7665E"/>
    <w:rsid w:val="00A805CE"/>
    <w:rsid w:val="00A80628"/>
    <w:rsid w:val="00A856B5"/>
    <w:rsid w:val="00A91DA3"/>
    <w:rsid w:val="00A91DD9"/>
    <w:rsid w:val="00A931E1"/>
    <w:rsid w:val="00A96F2E"/>
    <w:rsid w:val="00A97758"/>
    <w:rsid w:val="00AA3AE4"/>
    <w:rsid w:val="00AA4A8B"/>
    <w:rsid w:val="00AA646E"/>
    <w:rsid w:val="00AB20DB"/>
    <w:rsid w:val="00AB4DD8"/>
    <w:rsid w:val="00AC2EE6"/>
    <w:rsid w:val="00AC5D3A"/>
    <w:rsid w:val="00AC7189"/>
    <w:rsid w:val="00AD4647"/>
    <w:rsid w:val="00AD5689"/>
    <w:rsid w:val="00AD6714"/>
    <w:rsid w:val="00AD797A"/>
    <w:rsid w:val="00AE2321"/>
    <w:rsid w:val="00AE4DF8"/>
    <w:rsid w:val="00AE6476"/>
    <w:rsid w:val="00AF0B45"/>
    <w:rsid w:val="00AF1338"/>
    <w:rsid w:val="00AF1C82"/>
    <w:rsid w:val="00AF2B4F"/>
    <w:rsid w:val="00AF3B41"/>
    <w:rsid w:val="00AF543C"/>
    <w:rsid w:val="00AF6BF4"/>
    <w:rsid w:val="00B02848"/>
    <w:rsid w:val="00B061A6"/>
    <w:rsid w:val="00B17B34"/>
    <w:rsid w:val="00B23286"/>
    <w:rsid w:val="00B23727"/>
    <w:rsid w:val="00B240AC"/>
    <w:rsid w:val="00B31CCE"/>
    <w:rsid w:val="00B41FCD"/>
    <w:rsid w:val="00B506BE"/>
    <w:rsid w:val="00B50D19"/>
    <w:rsid w:val="00B52FE5"/>
    <w:rsid w:val="00B53D00"/>
    <w:rsid w:val="00B55848"/>
    <w:rsid w:val="00B61196"/>
    <w:rsid w:val="00B6148F"/>
    <w:rsid w:val="00B6248A"/>
    <w:rsid w:val="00B65EE0"/>
    <w:rsid w:val="00B74D88"/>
    <w:rsid w:val="00B74EFE"/>
    <w:rsid w:val="00B77F08"/>
    <w:rsid w:val="00B82D01"/>
    <w:rsid w:val="00B8323F"/>
    <w:rsid w:val="00B8405B"/>
    <w:rsid w:val="00B90201"/>
    <w:rsid w:val="00B92C7C"/>
    <w:rsid w:val="00B93B18"/>
    <w:rsid w:val="00B9501A"/>
    <w:rsid w:val="00BA0B65"/>
    <w:rsid w:val="00BA6474"/>
    <w:rsid w:val="00BB3764"/>
    <w:rsid w:val="00BB44AD"/>
    <w:rsid w:val="00BB55E8"/>
    <w:rsid w:val="00BB58A1"/>
    <w:rsid w:val="00BC7192"/>
    <w:rsid w:val="00BC7899"/>
    <w:rsid w:val="00BD10C4"/>
    <w:rsid w:val="00BD33A7"/>
    <w:rsid w:val="00BD3941"/>
    <w:rsid w:val="00BD39E8"/>
    <w:rsid w:val="00BD486A"/>
    <w:rsid w:val="00BD6A65"/>
    <w:rsid w:val="00BD7FC8"/>
    <w:rsid w:val="00BE5418"/>
    <w:rsid w:val="00BF2BA6"/>
    <w:rsid w:val="00BF2E65"/>
    <w:rsid w:val="00C03BC2"/>
    <w:rsid w:val="00C113B7"/>
    <w:rsid w:val="00C12C33"/>
    <w:rsid w:val="00C15CC3"/>
    <w:rsid w:val="00C20A70"/>
    <w:rsid w:val="00C212FF"/>
    <w:rsid w:val="00C31511"/>
    <w:rsid w:val="00C33F03"/>
    <w:rsid w:val="00C3428B"/>
    <w:rsid w:val="00C35128"/>
    <w:rsid w:val="00C41B45"/>
    <w:rsid w:val="00C4737F"/>
    <w:rsid w:val="00C4786E"/>
    <w:rsid w:val="00C56719"/>
    <w:rsid w:val="00C625B7"/>
    <w:rsid w:val="00C6260C"/>
    <w:rsid w:val="00C6462A"/>
    <w:rsid w:val="00C665F7"/>
    <w:rsid w:val="00C7022C"/>
    <w:rsid w:val="00C724F0"/>
    <w:rsid w:val="00C73156"/>
    <w:rsid w:val="00C745BE"/>
    <w:rsid w:val="00C76B7F"/>
    <w:rsid w:val="00C772EA"/>
    <w:rsid w:val="00C77DF8"/>
    <w:rsid w:val="00C81F4E"/>
    <w:rsid w:val="00C85BB5"/>
    <w:rsid w:val="00C92353"/>
    <w:rsid w:val="00C93903"/>
    <w:rsid w:val="00C9588F"/>
    <w:rsid w:val="00CA0B8C"/>
    <w:rsid w:val="00CA21E7"/>
    <w:rsid w:val="00CA305E"/>
    <w:rsid w:val="00CB1443"/>
    <w:rsid w:val="00CB24CB"/>
    <w:rsid w:val="00CB56C9"/>
    <w:rsid w:val="00CC0EE7"/>
    <w:rsid w:val="00CC3001"/>
    <w:rsid w:val="00CC52F4"/>
    <w:rsid w:val="00CC7BC9"/>
    <w:rsid w:val="00CD1DC1"/>
    <w:rsid w:val="00CD3E44"/>
    <w:rsid w:val="00CD4EA1"/>
    <w:rsid w:val="00CD50AA"/>
    <w:rsid w:val="00CD5DAD"/>
    <w:rsid w:val="00CD6C14"/>
    <w:rsid w:val="00CE26D0"/>
    <w:rsid w:val="00CE647A"/>
    <w:rsid w:val="00CF7CCF"/>
    <w:rsid w:val="00D00415"/>
    <w:rsid w:val="00D004A7"/>
    <w:rsid w:val="00D01F42"/>
    <w:rsid w:val="00D02526"/>
    <w:rsid w:val="00D03F33"/>
    <w:rsid w:val="00D04B7F"/>
    <w:rsid w:val="00D053D6"/>
    <w:rsid w:val="00D06C40"/>
    <w:rsid w:val="00D076E0"/>
    <w:rsid w:val="00D10EAC"/>
    <w:rsid w:val="00D11AB3"/>
    <w:rsid w:val="00D11D2B"/>
    <w:rsid w:val="00D16796"/>
    <w:rsid w:val="00D17F70"/>
    <w:rsid w:val="00D17FE7"/>
    <w:rsid w:val="00D214AC"/>
    <w:rsid w:val="00D2577A"/>
    <w:rsid w:val="00D26E7C"/>
    <w:rsid w:val="00D30D70"/>
    <w:rsid w:val="00D30F89"/>
    <w:rsid w:val="00D317E3"/>
    <w:rsid w:val="00D42758"/>
    <w:rsid w:val="00D4699D"/>
    <w:rsid w:val="00D47CCC"/>
    <w:rsid w:val="00D51A6C"/>
    <w:rsid w:val="00D52628"/>
    <w:rsid w:val="00D54149"/>
    <w:rsid w:val="00D61002"/>
    <w:rsid w:val="00D64C30"/>
    <w:rsid w:val="00D6726C"/>
    <w:rsid w:val="00D67383"/>
    <w:rsid w:val="00D719F3"/>
    <w:rsid w:val="00D71B68"/>
    <w:rsid w:val="00D71BCE"/>
    <w:rsid w:val="00D71EA1"/>
    <w:rsid w:val="00D73CC6"/>
    <w:rsid w:val="00D74385"/>
    <w:rsid w:val="00D74551"/>
    <w:rsid w:val="00D830FF"/>
    <w:rsid w:val="00D86C3A"/>
    <w:rsid w:val="00D8752B"/>
    <w:rsid w:val="00D879BB"/>
    <w:rsid w:val="00D91E04"/>
    <w:rsid w:val="00D922BD"/>
    <w:rsid w:val="00D94579"/>
    <w:rsid w:val="00D95929"/>
    <w:rsid w:val="00D96821"/>
    <w:rsid w:val="00D96BAC"/>
    <w:rsid w:val="00DA3E15"/>
    <w:rsid w:val="00DB037B"/>
    <w:rsid w:val="00DB1483"/>
    <w:rsid w:val="00DB297A"/>
    <w:rsid w:val="00DB4392"/>
    <w:rsid w:val="00DB7705"/>
    <w:rsid w:val="00DB7972"/>
    <w:rsid w:val="00DC1704"/>
    <w:rsid w:val="00DC19C1"/>
    <w:rsid w:val="00DC654C"/>
    <w:rsid w:val="00DC6F86"/>
    <w:rsid w:val="00DD32E7"/>
    <w:rsid w:val="00DE1A40"/>
    <w:rsid w:val="00DE4685"/>
    <w:rsid w:val="00DF2B45"/>
    <w:rsid w:val="00DF5EF9"/>
    <w:rsid w:val="00DF68E8"/>
    <w:rsid w:val="00E00C00"/>
    <w:rsid w:val="00E01011"/>
    <w:rsid w:val="00E02588"/>
    <w:rsid w:val="00E10865"/>
    <w:rsid w:val="00E122FF"/>
    <w:rsid w:val="00E12E68"/>
    <w:rsid w:val="00E1482A"/>
    <w:rsid w:val="00E15C36"/>
    <w:rsid w:val="00E16D8D"/>
    <w:rsid w:val="00E2023A"/>
    <w:rsid w:val="00E20814"/>
    <w:rsid w:val="00E21216"/>
    <w:rsid w:val="00E22193"/>
    <w:rsid w:val="00E223FB"/>
    <w:rsid w:val="00E23038"/>
    <w:rsid w:val="00E27849"/>
    <w:rsid w:val="00E27D7C"/>
    <w:rsid w:val="00E3107B"/>
    <w:rsid w:val="00E31774"/>
    <w:rsid w:val="00E34690"/>
    <w:rsid w:val="00E40B6A"/>
    <w:rsid w:val="00E4105C"/>
    <w:rsid w:val="00E41788"/>
    <w:rsid w:val="00E455B4"/>
    <w:rsid w:val="00E455EF"/>
    <w:rsid w:val="00E46208"/>
    <w:rsid w:val="00E51072"/>
    <w:rsid w:val="00E542BA"/>
    <w:rsid w:val="00E56622"/>
    <w:rsid w:val="00E5687E"/>
    <w:rsid w:val="00E57C6D"/>
    <w:rsid w:val="00E604B2"/>
    <w:rsid w:val="00E6137C"/>
    <w:rsid w:val="00E661E2"/>
    <w:rsid w:val="00E66BA7"/>
    <w:rsid w:val="00E67430"/>
    <w:rsid w:val="00E67C69"/>
    <w:rsid w:val="00E74AEA"/>
    <w:rsid w:val="00E8090C"/>
    <w:rsid w:val="00E8139F"/>
    <w:rsid w:val="00E8662B"/>
    <w:rsid w:val="00E94AF1"/>
    <w:rsid w:val="00E96C44"/>
    <w:rsid w:val="00E97612"/>
    <w:rsid w:val="00EA01D8"/>
    <w:rsid w:val="00EA3781"/>
    <w:rsid w:val="00EB2EFB"/>
    <w:rsid w:val="00EB76F9"/>
    <w:rsid w:val="00EC3512"/>
    <w:rsid w:val="00EC39D1"/>
    <w:rsid w:val="00EC3F26"/>
    <w:rsid w:val="00EC4F15"/>
    <w:rsid w:val="00ED4575"/>
    <w:rsid w:val="00ED7DCA"/>
    <w:rsid w:val="00EE0198"/>
    <w:rsid w:val="00EE1419"/>
    <w:rsid w:val="00EE29AD"/>
    <w:rsid w:val="00EE32FC"/>
    <w:rsid w:val="00EE5337"/>
    <w:rsid w:val="00EE7388"/>
    <w:rsid w:val="00EF24A7"/>
    <w:rsid w:val="00EF26D9"/>
    <w:rsid w:val="00EF2B47"/>
    <w:rsid w:val="00EF6B0B"/>
    <w:rsid w:val="00F00FC6"/>
    <w:rsid w:val="00F121C4"/>
    <w:rsid w:val="00F13668"/>
    <w:rsid w:val="00F173C3"/>
    <w:rsid w:val="00F17F18"/>
    <w:rsid w:val="00F219AC"/>
    <w:rsid w:val="00F23CA8"/>
    <w:rsid w:val="00F27BF8"/>
    <w:rsid w:val="00F34285"/>
    <w:rsid w:val="00F4623E"/>
    <w:rsid w:val="00F570D1"/>
    <w:rsid w:val="00F6266D"/>
    <w:rsid w:val="00F70FAA"/>
    <w:rsid w:val="00F73C5D"/>
    <w:rsid w:val="00F80346"/>
    <w:rsid w:val="00F811A9"/>
    <w:rsid w:val="00F83E28"/>
    <w:rsid w:val="00F84801"/>
    <w:rsid w:val="00F8505F"/>
    <w:rsid w:val="00F9536A"/>
    <w:rsid w:val="00FA0CF9"/>
    <w:rsid w:val="00FA3487"/>
    <w:rsid w:val="00FA7477"/>
    <w:rsid w:val="00FB04CF"/>
    <w:rsid w:val="00FB4BF5"/>
    <w:rsid w:val="00FB580A"/>
    <w:rsid w:val="00FB7D5D"/>
    <w:rsid w:val="00FC1BA0"/>
    <w:rsid w:val="00FC5D87"/>
    <w:rsid w:val="00FD05BB"/>
    <w:rsid w:val="00FE3D74"/>
    <w:rsid w:val="00FE4DA6"/>
    <w:rsid w:val="00FE51C0"/>
    <w:rsid w:val="00FE58DD"/>
    <w:rsid w:val="00FE776E"/>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3AB3C22"/>
  <w15:docId w15:val="{C019BC2E-77B5-4390-B861-EA537256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4027"/>
    <w:pPr>
      <w:suppressAutoHyphens/>
    </w:pPr>
    <w:rPr>
      <w:rFonts w:ascii="Arial" w:hAnsi="Arial"/>
      <w:sz w:val="24"/>
      <w:szCs w:val="20"/>
      <w:lang w:eastAsia="ar-SA"/>
    </w:rPr>
  </w:style>
  <w:style w:type="paragraph" w:styleId="Heading1">
    <w:name w:val="heading 1"/>
    <w:basedOn w:val="Normal"/>
    <w:next w:val="Normal"/>
    <w:link w:val="Heading1Char"/>
    <w:uiPriority w:val="99"/>
    <w:qFormat/>
    <w:rsid w:val="00E025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0258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E0258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0258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E0258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E0258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E02588"/>
    <w:p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E02588"/>
    <w:pPr>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E0258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33A7"/>
    <w:rPr>
      <w:rFonts w:ascii="Cambria" w:hAnsi="Cambria" w:cs="Times New Roman"/>
      <w:b/>
      <w:kern w:val="32"/>
      <w:sz w:val="32"/>
      <w:lang w:eastAsia="ar-SA" w:bidi="ar-SA"/>
    </w:rPr>
  </w:style>
  <w:style w:type="character" w:customStyle="1" w:styleId="Heading2Char">
    <w:name w:val="Heading 2 Char"/>
    <w:basedOn w:val="DefaultParagraphFont"/>
    <w:link w:val="Heading2"/>
    <w:uiPriority w:val="99"/>
    <w:semiHidden/>
    <w:locked/>
    <w:rsid w:val="00BD33A7"/>
    <w:rPr>
      <w:rFonts w:ascii="Cambria" w:hAnsi="Cambria" w:cs="Times New Roman"/>
      <w:b/>
      <w:i/>
      <w:sz w:val="28"/>
      <w:lang w:eastAsia="ar-SA" w:bidi="ar-SA"/>
    </w:rPr>
  </w:style>
  <w:style w:type="character" w:customStyle="1" w:styleId="Heading3Char">
    <w:name w:val="Heading 3 Char"/>
    <w:basedOn w:val="DefaultParagraphFont"/>
    <w:link w:val="Heading3"/>
    <w:uiPriority w:val="99"/>
    <w:semiHidden/>
    <w:locked/>
    <w:rsid w:val="00BD33A7"/>
    <w:rPr>
      <w:rFonts w:ascii="Cambria" w:hAnsi="Cambria" w:cs="Times New Roman"/>
      <w:b/>
      <w:sz w:val="26"/>
      <w:lang w:eastAsia="ar-SA" w:bidi="ar-SA"/>
    </w:rPr>
  </w:style>
  <w:style w:type="character" w:customStyle="1" w:styleId="Heading4Char">
    <w:name w:val="Heading 4 Char"/>
    <w:basedOn w:val="DefaultParagraphFont"/>
    <w:link w:val="Heading4"/>
    <w:uiPriority w:val="99"/>
    <w:semiHidden/>
    <w:locked/>
    <w:rsid w:val="00BD33A7"/>
    <w:rPr>
      <w:rFonts w:ascii="Calibri" w:hAnsi="Calibri" w:cs="Times New Roman"/>
      <w:b/>
      <w:sz w:val="28"/>
      <w:lang w:eastAsia="ar-SA" w:bidi="ar-SA"/>
    </w:rPr>
  </w:style>
  <w:style w:type="character" w:customStyle="1" w:styleId="Heading5Char">
    <w:name w:val="Heading 5 Char"/>
    <w:basedOn w:val="DefaultParagraphFont"/>
    <w:link w:val="Heading5"/>
    <w:uiPriority w:val="99"/>
    <w:semiHidden/>
    <w:locked/>
    <w:rsid w:val="00BD33A7"/>
    <w:rPr>
      <w:rFonts w:ascii="Calibri" w:hAnsi="Calibri" w:cs="Times New Roman"/>
      <w:b/>
      <w:i/>
      <w:sz w:val="26"/>
      <w:lang w:eastAsia="ar-SA" w:bidi="ar-SA"/>
    </w:rPr>
  </w:style>
  <w:style w:type="character" w:customStyle="1" w:styleId="Heading6Char">
    <w:name w:val="Heading 6 Char"/>
    <w:basedOn w:val="DefaultParagraphFont"/>
    <w:link w:val="Heading6"/>
    <w:uiPriority w:val="99"/>
    <w:semiHidden/>
    <w:locked/>
    <w:rsid w:val="00BD33A7"/>
    <w:rPr>
      <w:rFonts w:ascii="Calibri" w:hAnsi="Calibri" w:cs="Times New Roman"/>
      <w:b/>
      <w:sz w:val="22"/>
      <w:lang w:eastAsia="ar-SA" w:bidi="ar-SA"/>
    </w:rPr>
  </w:style>
  <w:style w:type="character" w:customStyle="1" w:styleId="Heading7Char">
    <w:name w:val="Heading 7 Char"/>
    <w:basedOn w:val="DefaultParagraphFont"/>
    <w:link w:val="Heading7"/>
    <w:uiPriority w:val="99"/>
    <w:semiHidden/>
    <w:locked/>
    <w:rsid w:val="00BD33A7"/>
    <w:rPr>
      <w:rFonts w:ascii="Calibri" w:hAnsi="Calibri" w:cs="Times New Roman"/>
      <w:sz w:val="24"/>
      <w:lang w:eastAsia="ar-SA" w:bidi="ar-SA"/>
    </w:rPr>
  </w:style>
  <w:style w:type="character" w:customStyle="1" w:styleId="Heading8Char">
    <w:name w:val="Heading 8 Char"/>
    <w:basedOn w:val="DefaultParagraphFont"/>
    <w:link w:val="Heading8"/>
    <w:uiPriority w:val="99"/>
    <w:semiHidden/>
    <w:locked/>
    <w:rsid w:val="00BD33A7"/>
    <w:rPr>
      <w:rFonts w:ascii="Calibri" w:hAnsi="Calibri" w:cs="Times New Roman"/>
      <w:i/>
      <w:sz w:val="24"/>
      <w:lang w:eastAsia="ar-SA" w:bidi="ar-SA"/>
    </w:rPr>
  </w:style>
  <w:style w:type="character" w:customStyle="1" w:styleId="Heading9Char">
    <w:name w:val="Heading 9 Char"/>
    <w:basedOn w:val="DefaultParagraphFont"/>
    <w:link w:val="Heading9"/>
    <w:uiPriority w:val="99"/>
    <w:semiHidden/>
    <w:locked/>
    <w:rsid w:val="00BD33A7"/>
    <w:rPr>
      <w:rFonts w:ascii="Cambria" w:hAnsi="Cambria" w:cs="Times New Roman"/>
      <w:sz w:val="22"/>
      <w:lang w:eastAsia="ar-SA" w:bidi="ar-SA"/>
    </w:rPr>
  </w:style>
  <w:style w:type="paragraph" w:customStyle="1" w:styleId="RENumberingVanSchuyler1">
    <w:name w:val="RE Numbering Van Schuyler 1"/>
    <w:basedOn w:val="Normal"/>
    <w:next w:val="BodyText"/>
    <w:uiPriority w:val="99"/>
    <w:rsid w:val="00E02588"/>
    <w:pPr>
      <w:spacing w:after="240"/>
      <w:outlineLvl w:val="0"/>
    </w:pPr>
  </w:style>
  <w:style w:type="paragraph" w:customStyle="1" w:styleId="RENumberingVanSchuyler2">
    <w:name w:val="RE Numbering Van Schuyler 2"/>
    <w:basedOn w:val="Normal"/>
    <w:next w:val="BodyText"/>
    <w:uiPriority w:val="99"/>
    <w:rsid w:val="00E02588"/>
    <w:pPr>
      <w:spacing w:after="240"/>
      <w:outlineLvl w:val="1"/>
    </w:pPr>
  </w:style>
  <w:style w:type="paragraph" w:customStyle="1" w:styleId="RENumberingVanSchuyler3">
    <w:name w:val="RE Numbering Van Schuyler 3"/>
    <w:basedOn w:val="Normal"/>
    <w:next w:val="BodyText"/>
    <w:uiPriority w:val="99"/>
    <w:rsid w:val="00E02588"/>
    <w:pPr>
      <w:spacing w:after="240"/>
      <w:outlineLvl w:val="2"/>
    </w:pPr>
  </w:style>
  <w:style w:type="paragraph" w:customStyle="1" w:styleId="RENumberingVanSchuyler4">
    <w:name w:val="RE Numbering Van Schuyler 4"/>
    <w:basedOn w:val="Normal"/>
    <w:next w:val="BodyText"/>
    <w:uiPriority w:val="99"/>
    <w:rsid w:val="00E02588"/>
    <w:pPr>
      <w:spacing w:after="240"/>
      <w:outlineLvl w:val="3"/>
    </w:pPr>
  </w:style>
  <w:style w:type="paragraph" w:customStyle="1" w:styleId="RENumberingVanSchuyler5">
    <w:name w:val="RE Numbering Van Schuyler 5"/>
    <w:basedOn w:val="Normal"/>
    <w:next w:val="BodyText"/>
    <w:uiPriority w:val="99"/>
    <w:rsid w:val="00E02588"/>
    <w:pPr>
      <w:spacing w:after="240"/>
      <w:outlineLvl w:val="4"/>
    </w:pPr>
  </w:style>
  <w:style w:type="paragraph" w:customStyle="1" w:styleId="RENumberingVanSchuyler6">
    <w:name w:val="RE Numbering Van Schuyler 6"/>
    <w:basedOn w:val="Normal"/>
    <w:next w:val="BodyText"/>
    <w:uiPriority w:val="99"/>
    <w:rsid w:val="00E02588"/>
    <w:pPr>
      <w:spacing w:after="240"/>
      <w:outlineLvl w:val="5"/>
    </w:pPr>
  </w:style>
  <w:style w:type="paragraph" w:customStyle="1" w:styleId="RENumberingVanSchuyler7">
    <w:name w:val="RE Numbering Van Schuyler 7"/>
    <w:basedOn w:val="Normal"/>
    <w:next w:val="BodyText"/>
    <w:uiPriority w:val="99"/>
    <w:rsid w:val="00E02588"/>
    <w:pPr>
      <w:spacing w:after="240"/>
      <w:outlineLvl w:val="6"/>
    </w:pPr>
  </w:style>
  <w:style w:type="paragraph" w:customStyle="1" w:styleId="RENumberingVanSchuyler8">
    <w:name w:val="RE Numbering Van Schuyler 8"/>
    <w:basedOn w:val="Normal"/>
    <w:next w:val="BodyText"/>
    <w:uiPriority w:val="99"/>
    <w:rsid w:val="00E02588"/>
    <w:pPr>
      <w:spacing w:after="240"/>
      <w:outlineLvl w:val="7"/>
    </w:pPr>
  </w:style>
  <w:style w:type="paragraph" w:customStyle="1" w:styleId="RENumberingVanSchuyler9">
    <w:name w:val="RE Numbering Van Schuyler 9"/>
    <w:basedOn w:val="Normal"/>
    <w:next w:val="BodyText"/>
    <w:uiPriority w:val="99"/>
    <w:rsid w:val="00E02588"/>
    <w:pPr>
      <w:spacing w:after="240"/>
      <w:outlineLvl w:val="8"/>
    </w:pPr>
  </w:style>
  <w:style w:type="paragraph" w:styleId="BodyText">
    <w:name w:val="Body Text"/>
    <w:basedOn w:val="Normal"/>
    <w:link w:val="BodyTextChar"/>
    <w:uiPriority w:val="99"/>
    <w:rsid w:val="00E02588"/>
    <w:pPr>
      <w:spacing w:after="120"/>
    </w:pPr>
  </w:style>
  <w:style w:type="character" w:customStyle="1" w:styleId="BodyTextChar">
    <w:name w:val="Body Text Char"/>
    <w:basedOn w:val="DefaultParagraphFont"/>
    <w:link w:val="BodyText"/>
    <w:uiPriority w:val="99"/>
    <w:semiHidden/>
    <w:locked/>
    <w:rsid w:val="00BD33A7"/>
    <w:rPr>
      <w:rFonts w:ascii="Arial" w:hAnsi="Arial" w:cs="Times New Roman"/>
      <w:sz w:val="24"/>
      <w:lang w:eastAsia="ar-SA" w:bidi="ar-SA"/>
    </w:rPr>
  </w:style>
  <w:style w:type="paragraph" w:customStyle="1" w:styleId="123num1">
    <w:name w:val="123 num 1"/>
    <w:basedOn w:val="Normal"/>
    <w:next w:val="BodyText"/>
    <w:uiPriority w:val="99"/>
    <w:rsid w:val="0092273F"/>
    <w:pPr>
      <w:numPr>
        <w:numId w:val="4"/>
      </w:numPr>
      <w:spacing w:after="240"/>
      <w:outlineLvl w:val="0"/>
    </w:pPr>
  </w:style>
  <w:style w:type="paragraph" w:customStyle="1" w:styleId="123num2">
    <w:name w:val="123 num 2"/>
    <w:basedOn w:val="Normal"/>
    <w:next w:val="BodyText"/>
    <w:uiPriority w:val="99"/>
    <w:rsid w:val="0092273F"/>
    <w:pPr>
      <w:numPr>
        <w:ilvl w:val="1"/>
        <w:numId w:val="4"/>
      </w:numPr>
      <w:spacing w:after="240"/>
      <w:outlineLvl w:val="1"/>
    </w:pPr>
  </w:style>
  <w:style w:type="paragraph" w:customStyle="1" w:styleId="123num3">
    <w:name w:val="123 num 3"/>
    <w:basedOn w:val="Normal"/>
    <w:next w:val="BodyText"/>
    <w:uiPriority w:val="99"/>
    <w:rsid w:val="0092273F"/>
    <w:pPr>
      <w:numPr>
        <w:ilvl w:val="2"/>
        <w:numId w:val="4"/>
      </w:numPr>
      <w:spacing w:after="240"/>
      <w:outlineLvl w:val="2"/>
    </w:pPr>
  </w:style>
  <w:style w:type="paragraph" w:customStyle="1" w:styleId="123num4">
    <w:name w:val="123 num 4"/>
    <w:basedOn w:val="Normal"/>
    <w:next w:val="BodyText"/>
    <w:uiPriority w:val="99"/>
    <w:rsid w:val="0092273F"/>
    <w:pPr>
      <w:numPr>
        <w:ilvl w:val="3"/>
        <w:numId w:val="4"/>
      </w:numPr>
      <w:spacing w:after="240"/>
      <w:outlineLvl w:val="3"/>
    </w:pPr>
  </w:style>
  <w:style w:type="paragraph" w:customStyle="1" w:styleId="123num5">
    <w:name w:val="123 num 5"/>
    <w:basedOn w:val="Normal"/>
    <w:next w:val="BodyText"/>
    <w:uiPriority w:val="99"/>
    <w:rsid w:val="0092273F"/>
    <w:pPr>
      <w:numPr>
        <w:ilvl w:val="4"/>
        <w:numId w:val="4"/>
      </w:numPr>
      <w:spacing w:after="240"/>
      <w:outlineLvl w:val="4"/>
    </w:pPr>
  </w:style>
  <w:style w:type="paragraph" w:customStyle="1" w:styleId="123num6">
    <w:name w:val="123 num 6"/>
    <w:basedOn w:val="Normal"/>
    <w:next w:val="BodyText"/>
    <w:uiPriority w:val="99"/>
    <w:rsid w:val="0092273F"/>
    <w:pPr>
      <w:numPr>
        <w:ilvl w:val="5"/>
        <w:numId w:val="4"/>
      </w:numPr>
      <w:spacing w:after="240"/>
      <w:outlineLvl w:val="5"/>
    </w:pPr>
  </w:style>
  <w:style w:type="paragraph" w:customStyle="1" w:styleId="123num7">
    <w:name w:val="123 num 7"/>
    <w:basedOn w:val="Normal"/>
    <w:next w:val="BodyText"/>
    <w:uiPriority w:val="99"/>
    <w:rsid w:val="0092273F"/>
    <w:pPr>
      <w:numPr>
        <w:ilvl w:val="6"/>
        <w:numId w:val="4"/>
      </w:numPr>
      <w:spacing w:after="240"/>
      <w:outlineLvl w:val="6"/>
    </w:pPr>
  </w:style>
  <w:style w:type="paragraph" w:customStyle="1" w:styleId="123num8">
    <w:name w:val="123 num 8"/>
    <w:basedOn w:val="Normal"/>
    <w:next w:val="BodyText"/>
    <w:uiPriority w:val="99"/>
    <w:rsid w:val="0092273F"/>
    <w:pPr>
      <w:numPr>
        <w:ilvl w:val="7"/>
        <w:numId w:val="4"/>
      </w:numPr>
      <w:spacing w:after="240"/>
      <w:outlineLvl w:val="7"/>
    </w:pPr>
  </w:style>
  <w:style w:type="paragraph" w:customStyle="1" w:styleId="123num9">
    <w:name w:val="123 num 9"/>
    <w:basedOn w:val="Normal"/>
    <w:next w:val="BodyText"/>
    <w:uiPriority w:val="99"/>
    <w:rsid w:val="0092273F"/>
    <w:pPr>
      <w:numPr>
        <w:ilvl w:val="8"/>
        <w:numId w:val="4"/>
      </w:numPr>
      <w:spacing w:after="240"/>
      <w:outlineLvl w:val="8"/>
    </w:pPr>
  </w:style>
  <w:style w:type="paragraph" w:customStyle="1" w:styleId="IcooperNum1">
    <w:name w:val="Icooper Num 1"/>
    <w:basedOn w:val="Normal"/>
    <w:next w:val="BodyText"/>
    <w:uiPriority w:val="99"/>
    <w:rsid w:val="00454757"/>
    <w:pPr>
      <w:numPr>
        <w:numId w:val="5"/>
      </w:numPr>
      <w:spacing w:after="240"/>
      <w:outlineLvl w:val="0"/>
    </w:pPr>
  </w:style>
  <w:style w:type="paragraph" w:customStyle="1" w:styleId="IcooperNum2">
    <w:name w:val="Icooper Num 2"/>
    <w:basedOn w:val="Normal"/>
    <w:next w:val="BodyText"/>
    <w:uiPriority w:val="99"/>
    <w:rsid w:val="00454757"/>
    <w:pPr>
      <w:numPr>
        <w:ilvl w:val="1"/>
        <w:numId w:val="5"/>
      </w:numPr>
      <w:spacing w:after="240"/>
      <w:outlineLvl w:val="1"/>
    </w:pPr>
  </w:style>
  <w:style w:type="paragraph" w:customStyle="1" w:styleId="IcooperNum3">
    <w:name w:val="Icooper Num 3"/>
    <w:basedOn w:val="Normal"/>
    <w:next w:val="BodyText"/>
    <w:uiPriority w:val="99"/>
    <w:rsid w:val="00454757"/>
    <w:pPr>
      <w:numPr>
        <w:ilvl w:val="2"/>
        <w:numId w:val="5"/>
      </w:numPr>
      <w:spacing w:after="240"/>
      <w:outlineLvl w:val="2"/>
    </w:pPr>
  </w:style>
  <w:style w:type="paragraph" w:customStyle="1" w:styleId="IcooperNum4">
    <w:name w:val="Icooper Num 4"/>
    <w:basedOn w:val="Normal"/>
    <w:next w:val="BodyText"/>
    <w:uiPriority w:val="99"/>
    <w:rsid w:val="00454757"/>
    <w:pPr>
      <w:numPr>
        <w:ilvl w:val="3"/>
        <w:numId w:val="5"/>
      </w:numPr>
      <w:spacing w:after="240"/>
      <w:outlineLvl w:val="3"/>
    </w:pPr>
  </w:style>
  <w:style w:type="paragraph" w:customStyle="1" w:styleId="IcooperNum5">
    <w:name w:val="Icooper Num 5"/>
    <w:basedOn w:val="Normal"/>
    <w:next w:val="BodyText"/>
    <w:uiPriority w:val="99"/>
    <w:rsid w:val="00454757"/>
    <w:pPr>
      <w:numPr>
        <w:ilvl w:val="4"/>
        <w:numId w:val="5"/>
      </w:numPr>
      <w:spacing w:after="240"/>
      <w:outlineLvl w:val="4"/>
    </w:pPr>
  </w:style>
  <w:style w:type="paragraph" w:customStyle="1" w:styleId="IcooperNum6">
    <w:name w:val="Icooper Num 6"/>
    <w:basedOn w:val="Normal"/>
    <w:next w:val="BodyText"/>
    <w:uiPriority w:val="99"/>
    <w:rsid w:val="00454757"/>
    <w:pPr>
      <w:numPr>
        <w:ilvl w:val="5"/>
        <w:numId w:val="5"/>
      </w:numPr>
      <w:tabs>
        <w:tab w:val="num" w:pos="720"/>
      </w:tabs>
      <w:spacing w:after="240"/>
      <w:outlineLvl w:val="5"/>
    </w:pPr>
  </w:style>
  <w:style w:type="paragraph" w:customStyle="1" w:styleId="IcooperNum7">
    <w:name w:val="Icooper Num 7"/>
    <w:basedOn w:val="Normal"/>
    <w:next w:val="BodyText"/>
    <w:uiPriority w:val="99"/>
    <w:rsid w:val="00454757"/>
    <w:pPr>
      <w:numPr>
        <w:ilvl w:val="6"/>
        <w:numId w:val="5"/>
      </w:numPr>
      <w:tabs>
        <w:tab w:val="num" w:pos="720"/>
      </w:tabs>
      <w:spacing w:after="240"/>
      <w:outlineLvl w:val="6"/>
    </w:pPr>
  </w:style>
  <w:style w:type="paragraph" w:customStyle="1" w:styleId="IcooperNum8">
    <w:name w:val="Icooper Num 8"/>
    <w:basedOn w:val="Normal"/>
    <w:next w:val="BodyText"/>
    <w:uiPriority w:val="99"/>
    <w:rsid w:val="00454757"/>
    <w:pPr>
      <w:numPr>
        <w:ilvl w:val="7"/>
        <w:numId w:val="5"/>
      </w:numPr>
      <w:tabs>
        <w:tab w:val="num" w:pos="720"/>
      </w:tabs>
      <w:spacing w:after="240"/>
      <w:outlineLvl w:val="7"/>
    </w:pPr>
  </w:style>
  <w:style w:type="paragraph" w:customStyle="1" w:styleId="IcooperNum9">
    <w:name w:val="Icooper Num 9"/>
    <w:basedOn w:val="Normal"/>
    <w:next w:val="BodyText"/>
    <w:uiPriority w:val="99"/>
    <w:rsid w:val="00454757"/>
    <w:pPr>
      <w:numPr>
        <w:ilvl w:val="8"/>
        <w:numId w:val="5"/>
      </w:numPr>
      <w:tabs>
        <w:tab w:val="num" w:pos="720"/>
      </w:tabs>
      <w:spacing w:after="240"/>
      <w:outlineLvl w:val="8"/>
    </w:pPr>
  </w:style>
  <w:style w:type="paragraph" w:customStyle="1" w:styleId="testandard1">
    <w:name w:val="t &amp; e standard 1"/>
    <w:basedOn w:val="Normal"/>
    <w:uiPriority w:val="99"/>
    <w:rsid w:val="00454757"/>
    <w:pPr>
      <w:numPr>
        <w:numId w:val="3"/>
      </w:numPr>
    </w:pPr>
  </w:style>
  <w:style w:type="paragraph" w:customStyle="1" w:styleId="testandard2">
    <w:name w:val="t &amp; e standard 2"/>
    <w:basedOn w:val="Normal"/>
    <w:uiPriority w:val="99"/>
    <w:rsid w:val="00454757"/>
    <w:pPr>
      <w:numPr>
        <w:ilvl w:val="1"/>
        <w:numId w:val="3"/>
      </w:numPr>
    </w:pPr>
  </w:style>
  <w:style w:type="paragraph" w:customStyle="1" w:styleId="testandard3">
    <w:name w:val="t &amp; e standard 3"/>
    <w:basedOn w:val="Normal"/>
    <w:uiPriority w:val="99"/>
    <w:rsid w:val="00454757"/>
    <w:pPr>
      <w:numPr>
        <w:ilvl w:val="2"/>
        <w:numId w:val="3"/>
      </w:numPr>
    </w:pPr>
  </w:style>
  <w:style w:type="paragraph" w:customStyle="1" w:styleId="testandard4">
    <w:name w:val="t &amp; e standard 4"/>
    <w:basedOn w:val="Normal"/>
    <w:uiPriority w:val="99"/>
    <w:rsid w:val="00454757"/>
    <w:pPr>
      <w:numPr>
        <w:ilvl w:val="3"/>
        <w:numId w:val="3"/>
      </w:numPr>
    </w:pPr>
  </w:style>
  <w:style w:type="paragraph" w:customStyle="1" w:styleId="testandard5">
    <w:name w:val="t &amp; e standard 5"/>
    <w:basedOn w:val="Normal"/>
    <w:uiPriority w:val="99"/>
    <w:rsid w:val="00454757"/>
    <w:pPr>
      <w:numPr>
        <w:ilvl w:val="4"/>
        <w:numId w:val="3"/>
      </w:numPr>
    </w:pPr>
  </w:style>
  <w:style w:type="paragraph" w:customStyle="1" w:styleId="testandard6">
    <w:name w:val="t &amp; e standard 6"/>
    <w:basedOn w:val="Normal"/>
    <w:uiPriority w:val="99"/>
    <w:rsid w:val="00454757"/>
    <w:pPr>
      <w:numPr>
        <w:ilvl w:val="5"/>
        <w:numId w:val="3"/>
      </w:numPr>
    </w:pPr>
  </w:style>
  <w:style w:type="paragraph" w:customStyle="1" w:styleId="testandard7">
    <w:name w:val="t &amp; e standard 7"/>
    <w:basedOn w:val="Normal"/>
    <w:uiPriority w:val="99"/>
    <w:rsid w:val="00454757"/>
    <w:pPr>
      <w:numPr>
        <w:ilvl w:val="6"/>
        <w:numId w:val="3"/>
      </w:numPr>
    </w:pPr>
  </w:style>
  <w:style w:type="paragraph" w:customStyle="1" w:styleId="testandard8">
    <w:name w:val="t &amp; e standard 8"/>
    <w:basedOn w:val="Normal"/>
    <w:uiPriority w:val="99"/>
    <w:rsid w:val="00454757"/>
    <w:pPr>
      <w:numPr>
        <w:ilvl w:val="7"/>
        <w:numId w:val="3"/>
      </w:numPr>
    </w:pPr>
  </w:style>
  <w:style w:type="paragraph" w:customStyle="1" w:styleId="testandard9">
    <w:name w:val="t &amp; e standard 9"/>
    <w:basedOn w:val="Normal"/>
    <w:uiPriority w:val="99"/>
    <w:rsid w:val="00454757"/>
    <w:pPr>
      <w:numPr>
        <w:ilvl w:val="8"/>
        <w:numId w:val="3"/>
      </w:numPr>
    </w:pPr>
  </w:style>
  <w:style w:type="paragraph" w:customStyle="1" w:styleId="CLNumbering1">
    <w:name w:val="CL Numbering 1"/>
    <w:basedOn w:val="Normal"/>
    <w:next w:val="BodyText"/>
    <w:uiPriority w:val="99"/>
    <w:rsid w:val="00454757"/>
    <w:pPr>
      <w:numPr>
        <w:numId w:val="1"/>
      </w:numPr>
      <w:spacing w:after="240"/>
      <w:outlineLvl w:val="0"/>
    </w:pPr>
  </w:style>
  <w:style w:type="paragraph" w:customStyle="1" w:styleId="CLNumbering2">
    <w:name w:val="CL Numbering 2"/>
    <w:basedOn w:val="Normal"/>
    <w:next w:val="BodyText"/>
    <w:uiPriority w:val="99"/>
    <w:rsid w:val="00454757"/>
    <w:pPr>
      <w:numPr>
        <w:ilvl w:val="1"/>
        <w:numId w:val="1"/>
      </w:numPr>
      <w:spacing w:after="240"/>
      <w:outlineLvl w:val="1"/>
    </w:pPr>
  </w:style>
  <w:style w:type="paragraph" w:customStyle="1" w:styleId="CLNumbering3">
    <w:name w:val="CL Numbering 3"/>
    <w:basedOn w:val="Normal"/>
    <w:next w:val="BodyText"/>
    <w:uiPriority w:val="99"/>
    <w:rsid w:val="00454757"/>
    <w:pPr>
      <w:numPr>
        <w:ilvl w:val="2"/>
        <w:numId w:val="1"/>
      </w:numPr>
      <w:spacing w:after="240"/>
      <w:outlineLvl w:val="2"/>
    </w:pPr>
  </w:style>
  <w:style w:type="paragraph" w:customStyle="1" w:styleId="CLNumbering4">
    <w:name w:val="CL Numbering 4"/>
    <w:basedOn w:val="Normal"/>
    <w:next w:val="BodyText"/>
    <w:uiPriority w:val="99"/>
    <w:rsid w:val="00454757"/>
    <w:pPr>
      <w:numPr>
        <w:ilvl w:val="3"/>
        <w:numId w:val="1"/>
      </w:numPr>
      <w:spacing w:after="240"/>
      <w:outlineLvl w:val="3"/>
    </w:pPr>
  </w:style>
  <w:style w:type="paragraph" w:customStyle="1" w:styleId="CLNumbering5">
    <w:name w:val="CL Numbering 5"/>
    <w:basedOn w:val="Normal"/>
    <w:next w:val="BodyText"/>
    <w:uiPriority w:val="99"/>
    <w:rsid w:val="00454757"/>
    <w:pPr>
      <w:numPr>
        <w:ilvl w:val="4"/>
        <w:numId w:val="1"/>
      </w:numPr>
      <w:spacing w:after="240"/>
      <w:outlineLvl w:val="4"/>
    </w:pPr>
  </w:style>
  <w:style w:type="paragraph" w:customStyle="1" w:styleId="CLNumbering6">
    <w:name w:val="CL Numbering 6"/>
    <w:basedOn w:val="Normal"/>
    <w:next w:val="BodyText"/>
    <w:uiPriority w:val="99"/>
    <w:rsid w:val="00454757"/>
    <w:pPr>
      <w:numPr>
        <w:ilvl w:val="5"/>
        <w:numId w:val="1"/>
      </w:numPr>
      <w:spacing w:after="240"/>
      <w:outlineLvl w:val="5"/>
    </w:pPr>
  </w:style>
  <w:style w:type="paragraph" w:customStyle="1" w:styleId="CLNumbering7">
    <w:name w:val="CL Numbering 7"/>
    <w:basedOn w:val="Normal"/>
    <w:next w:val="BodyText"/>
    <w:uiPriority w:val="99"/>
    <w:rsid w:val="00454757"/>
    <w:pPr>
      <w:numPr>
        <w:ilvl w:val="6"/>
        <w:numId w:val="1"/>
      </w:numPr>
      <w:spacing w:after="240"/>
      <w:outlineLvl w:val="6"/>
    </w:pPr>
  </w:style>
  <w:style w:type="paragraph" w:customStyle="1" w:styleId="CLNumbering8">
    <w:name w:val="CL Numbering 8"/>
    <w:basedOn w:val="Normal"/>
    <w:next w:val="BodyText"/>
    <w:uiPriority w:val="99"/>
    <w:rsid w:val="00454757"/>
    <w:pPr>
      <w:numPr>
        <w:ilvl w:val="7"/>
        <w:numId w:val="1"/>
      </w:numPr>
      <w:spacing w:after="240"/>
      <w:outlineLvl w:val="7"/>
    </w:pPr>
  </w:style>
  <w:style w:type="paragraph" w:customStyle="1" w:styleId="CLNumbering9">
    <w:name w:val="CL Numbering 9"/>
    <w:basedOn w:val="Normal"/>
    <w:next w:val="BodyText"/>
    <w:uiPriority w:val="99"/>
    <w:rsid w:val="00454757"/>
    <w:pPr>
      <w:numPr>
        <w:ilvl w:val="8"/>
        <w:numId w:val="1"/>
      </w:numPr>
      <w:spacing w:after="240"/>
      <w:outlineLvl w:val="8"/>
    </w:pPr>
  </w:style>
  <w:style w:type="paragraph" w:customStyle="1" w:styleId="CorpNumbering1">
    <w:name w:val="Corp Numbering 1"/>
    <w:basedOn w:val="Normal"/>
    <w:next w:val="BodyText"/>
    <w:uiPriority w:val="99"/>
    <w:rsid w:val="00454757"/>
    <w:pPr>
      <w:numPr>
        <w:numId w:val="2"/>
      </w:numPr>
      <w:spacing w:after="240"/>
      <w:outlineLvl w:val="0"/>
    </w:pPr>
  </w:style>
  <w:style w:type="paragraph" w:customStyle="1" w:styleId="CorpNumbering2">
    <w:name w:val="Corp Numbering 2"/>
    <w:basedOn w:val="Normal"/>
    <w:next w:val="BodyText"/>
    <w:uiPriority w:val="99"/>
    <w:rsid w:val="00454757"/>
    <w:pPr>
      <w:numPr>
        <w:ilvl w:val="1"/>
        <w:numId w:val="2"/>
      </w:numPr>
      <w:spacing w:after="240"/>
      <w:outlineLvl w:val="1"/>
    </w:pPr>
  </w:style>
  <w:style w:type="paragraph" w:customStyle="1" w:styleId="CorpNumbering3">
    <w:name w:val="Corp Numbering 3"/>
    <w:basedOn w:val="Normal"/>
    <w:next w:val="BodyText"/>
    <w:uiPriority w:val="99"/>
    <w:rsid w:val="00454757"/>
    <w:pPr>
      <w:numPr>
        <w:ilvl w:val="2"/>
        <w:numId w:val="2"/>
      </w:numPr>
      <w:spacing w:after="240"/>
      <w:outlineLvl w:val="2"/>
    </w:pPr>
  </w:style>
  <w:style w:type="paragraph" w:customStyle="1" w:styleId="CorpNumbering4">
    <w:name w:val="Corp Numbering 4"/>
    <w:basedOn w:val="Normal"/>
    <w:next w:val="BodyText"/>
    <w:uiPriority w:val="99"/>
    <w:rsid w:val="00454757"/>
    <w:pPr>
      <w:numPr>
        <w:ilvl w:val="3"/>
        <w:numId w:val="2"/>
      </w:numPr>
      <w:spacing w:after="240"/>
      <w:outlineLvl w:val="3"/>
    </w:pPr>
  </w:style>
  <w:style w:type="paragraph" w:customStyle="1" w:styleId="CorpNumbering5">
    <w:name w:val="Corp Numbering 5"/>
    <w:basedOn w:val="Normal"/>
    <w:next w:val="BodyText"/>
    <w:uiPriority w:val="99"/>
    <w:rsid w:val="00454757"/>
    <w:pPr>
      <w:numPr>
        <w:ilvl w:val="4"/>
        <w:numId w:val="2"/>
      </w:numPr>
      <w:spacing w:after="240"/>
      <w:outlineLvl w:val="4"/>
    </w:pPr>
  </w:style>
  <w:style w:type="paragraph" w:customStyle="1" w:styleId="CorpNumbering6">
    <w:name w:val="Corp Numbering 6"/>
    <w:basedOn w:val="Normal"/>
    <w:next w:val="BodyText"/>
    <w:uiPriority w:val="99"/>
    <w:rsid w:val="00454757"/>
    <w:pPr>
      <w:numPr>
        <w:ilvl w:val="5"/>
        <w:numId w:val="2"/>
      </w:numPr>
      <w:spacing w:after="240"/>
      <w:outlineLvl w:val="5"/>
    </w:pPr>
  </w:style>
  <w:style w:type="paragraph" w:customStyle="1" w:styleId="CorpNumbering7">
    <w:name w:val="Corp Numbering 7"/>
    <w:basedOn w:val="Normal"/>
    <w:next w:val="BodyText"/>
    <w:uiPriority w:val="99"/>
    <w:rsid w:val="00454757"/>
    <w:pPr>
      <w:numPr>
        <w:ilvl w:val="6"/>
        <w:numId w:val="2"/>
      </w:numPr>
      <w:spacing w:after="240"/>
      <w:outlineLvl w:val="6"/>
    </w:pPr>
  </w:style>
  <w:style w:type="paragraph" w:customStyle="1" w:styleId="CorpNumbering8">
    <w:name w:val="Corp Numbering 8"/>
    <w:basedOn w:val="Normal"/>
    <w:next w:val="BodyText"/>
    <w:uiPriority w:val="99"/>
    <w:rsid w:val="00454757"/>
    <w:pPr>
      <w:numPr>
        <w:ilvl w:val="7"/>
        <w:numId w:val="2"/>
      </w:numPr>
      <w:spacing w:after="240"/>
      <w:outlineLvl w:val="7"/>
    </w:pPr>
  </w:style>
  <w:style w:type="paragraph" w:customStyle="1" w:styleId="CorpNumbering9">
    <w:name w:val="Corp Numbering 9"/>
    <w:basedOn w:val="Normal"/>
    <w:next w:val="BodyText"/>
    <w:uiPriority w:val="99"/>
    <w:rsid w:val="00454757"/>
    <w:pPr>
      <w:numPr>
        <w:ilvl w:val="8"/>
        <w:numId w:val="2"/>
      </w:numPr>
      <w:spacing w:after="240"/>
      <w:outlineLvl w:val="8"/>
    </w:pPr>
  </w:style>
  <w:style w:type="paragraph" w:customStyle="1" w:styleId="123numhangingindent1">
    <w:name w:val="123 num hanging indent 1"/>
    <w:basedOn w:val="Normal"/>
    <w:next w:val="BodyText"/>
    <w:uiPriority w:val="99"/>
    <w:rsid w:val="00454757"/>
    <w:pPr>
      <w:numPr>
        <w:numId w:val="6"/>
      </w:numPr>
      <w:spacing w:after="240"/>
      <w:outlineLvl w:val="0"/>
    </w:pPr>
  </w:style>
  <w:style w:type="paragraph" w:customStyle="1" w:styleId="123numhangingindent2">
    <w:name w:val="123 num hanging indent 2"/>
    <w:basedOn w:val="Normal"/>
    <w:next w:val="BodyText"/>
    <w:uiPriority w:val="99"/>
    <w:rsid w:val="00454757"/>
    <w:pPr>
      <w:numPr>
        <w:ilvl w:val="1"/>
        <w:numId w:val="6"/>
      </w:numPr>
      <w:spacing w:after="240"/>
      <w:outlineLvl w:val="1"/>
    </w:pPr>
  </w:style>
  <w:style w:type="paragraph" w:customStyle="1" w:styleId="123numhangingindent3">
    <w:name w:val="123 num hanging indent 3"/>
    <w:basedOn w:val="Normal"/>
    <w:next w:val="BodyText"/>
    <w:uiPriority w:val="99"/>
    <w:rsid w:val="00454757"/>
    <w:pPr>
      <w:numPr>
        <w:ilvl w:val="2"/>
        <w:numId w:val="6"/>
      </w:numPr>
      <w:spacing w:after="240"/>
      <w:outlineLvl w:val="2"/>
    </w:pPr>
  </w:style>
  <w:style w:type="paragraph" w:customStyle="1" w:styleId="123numhangingindent4">
    <w:name w:val="123 num hanging indent 4"/>
    <w:basedOn w:val="Normal"/>
    <w:next w:val="BodyText"/>
    <w:uiPriority w:val="99"/>
    <w:rsid w:val="00454757"/>
    <w:pPr>
      <w:numPr>
        <w:ilvl w:val="3"/>
        <w:numId w:val="6"/>
      </w:numPr>
      <w:spacing w:after="240"/>
      <w:outlineLvl w:val="3"/>
    </w:pPr>
  </w:style>
  <w:style w:type="paragraph" w:customStyle="1" w:styleId="123numhangingindent5">
    <w:name w:val="123 num hanging indent 5"/>
    <w:basedOn w:val="Normal"/>
    <w:next w:val="BodyText"/>
    <w:uiPriority w:val="99"/>
    <w:rsid w:val="00454757"/>
    <w:pPr>
      <w:numPr>
        <w:ilvl w:val="4"/>
        <w:numId w:val="6"/>
      </w:numPr>
      <w:spacing w:after="240"/>
      <w:outlineLvl w:val="4"/>
    </w:pPr>
  </w:style>
  <w:style w:type="paragraph" w:customStyle="1" w:styleId="123numhangingindent6">
    <w:name w:val="123 num hanging indent 6"/>
    <w:basedOn w:val="Normal"/>
    <w:next w:val="BodyText"/>
    <w:uiPriority w:val="99"/>
    <w:rsid w:val="00454757"/>
    <w:pPr>
      <w:numPr>
        <w:ilvl w:val="5"/>
        <w:numId w:val="6"/>
      </w:numPr>
      <w:spacing w:after="240"/>
      <w:outlineLvl w:val="5"/>
    </w:pPr>
  </w:style>
  <w:style w:type="paragraph" w:customStyle="1" w:styleId="123numhangingindent7">
    <w:name w:val="123 num hanging indent 7"/>
    <w:basedOn w:val="Normal"/>
    <w:next w:val="BodyText"/>
    <w:uiPriority w:val="99"/>
    <w:rsid w:val="00454757"/>
    <w:pPr>
      <w:numPr>
        <w:ilvl w:val="6"/>
        <w:numId w:val="6"/>
      </w:numPr>
      <w:spacing w:after="240"/>
      <w:outlineLvl w:val="6"/>
    </w:pPr>
  </w:style>
  <w:style w:type="paragraph" w:customStyle="1" w:styleId="123numhangingindent8">
    <w:name w:val="123 num hanging indent 8"/>
    <w:basedOn w:val="Normal"/>
    <w:next w:val="BodyText"/>
    <w:uiPriority w:val="99"/>
    <w:rsid w:val="00454757"/>
    <w:pPr>
      <w:numPr>
        <w:ilvl w:val="7"/>
        <w:numId w:val="6"/>
      </w:numPr>
      <w:spacing w:after="240"/>
      <w:outlineLvl w:val="7"/>
    </w:pPr>
  </w:style>
  <w:style w:type="paragraph" w:customStyle="1" w:styleId="123numhangingindent9">
    <w:name w:val="123 num hanging indent 9"/>
    <w:basedOn w:val="Normal"/>
    <w:next w:val="BodyText"/>
    <w:uiPriority w:val="99"/>
    <w:rsid w:val="00454757"/>
    <w:pPr>
      <w:numPr>
        <w:ilvl w:val="8"/>
        <w:numId w:val="6"/>
      </w:numPr>
      <w:tabs>
        <w:tab w:val="num" w:pos="1580"/>
      </w:tabs>
      <w:spacing w:after="240"/>
      <w:outlineLvl w:val="8"/>
    </w:pPr>
  </w:style>
  <w:style w:type="paragraph" w:styleId="EnvelopeAddress">
    <w:name w:val="envelope address"/>
    <w:basedOn w:val="Normal"/>
    <w:uiPriority w:val="99"/>
    <w:rsid w:val="00E02588"/>
    <w:pPr>
      <w:framePr w:w="7920" w:h="1980" w:hRule="exact" w:hSpace="180" w:wrap="auto" w:hAnchor="page" w:xAlign="center" w:yAlign="bottom"/>
      <w:ind w:left="2880"/>
    </w:pPr>
    <w:rPr>
      <w:rFonts w:cs="Arial"/>
    </w:rPr>
  </w:style>
  <w:style w:type="paragraph" w:styleId="BalloonText">
    <w:name w:val="Balloon Text"/>
    <w:basedOn w:val="Normal"/>
    <w:link w:val="BalloonTextChar"/>
    <w:uiPriority w:val="99"/>
    <w:rsid w:val="00E661E2"/>
    <w:rPr>
      <w:rFonts w:ascii="Tahoma" w:hAnsi="Tahoma"/>
      <w:sz w:val="16"/>
    </w:rPr>
  </w:style>
  <w:style w:type="character" w:customStyle="1" w:styleId="BalloonTextChar">
    <w:name w:val="Balloon Text Char"/>
    <w:basedOn w:val="DefaultParagraphFont"/>
    <w:link w:val="BalloonText"/>
    <w:uiPriority w:val="99"/>
    <w:locked/>
    <w:rsid w:val="00E661E2"/>
    <w:rPr>
      <w:rFonts w:ascii="Tahoma" w:hAnsi="Tahoma"/>
      <w:sz w:val="16"/>
      <w:szCs w:val="20"/>
      <w:lang w:eastAsia="ar-SA"/>
    </w:rPr>
  </w:style>
  <w:style w:type="paragraph" w:styleId="Caption">
    <w:name w:val="caption"/>
    <w:basedOn w:val="Normal"/>
    <w:next w:val="Normal"/>
    <w:uiPriority w:val="99"/>
    <w:qFormat/>
    <w:rsid w:val="00E02588"/>
    <w:pPr>
      <w:spacing w:before="120" w:after="120"/>
    </w:pPr>
    <w:rPr>
      <w:b/>
      <w:bCs/>
      <w:sz w:val="20"/>
    </w:rPr>
  </w:style>
  <w:style w:type="character" w:styleId="EndnoteReference">
    <w:name w:val="endnote reference"/>
    <w:basedOn w:val="DefaultParagraphFont"/>
    <w:uiPriority w:val="99"/>
    <w:rsid w:val="00E02588"/>
    <w:rPr>
      <w:rFonts w:cs="Times New Roman"/>
      <w:vertAlign w:val="superscript"/>
    </w:rPr>
  </w:style>
  <w:style w:type="paragraph" w:styleId="EndnoteText">
    <w:name w:val="endnote text"/>
    <w:basedOn w:val="Normal"/>
    <w:link w:val="EndnoteTextChar"/>
    <w:uiPriority w:val="99"/>
    <w:rsid w:val="00E02588"/>
    <w:rPr>
      <w:sz w:val="20"/>
    </w:rPr>
  </w:style>
  <w:style w:type="character" w:customStyle="1" w:styleId="EndnoteTextChar">
    <w:name w:val="Endnote Text Char"/>
    <w:basedOn w:val="DefaultParagraphFont"/>
    <w:link w:val="EndnoteText"/>
    <w:uiPriority w:val="99"/>
    <w:semiHidden/>
    <w:locked/>
    <w:rsid w:val="00BD33A7"/>
    <w:rPr>
      <w:rFonts w:ascii="Arial" w:hAnsi="Arial" w:cs="Times New Roman"/>
      <w:lang w:eastAsia="ar-SA" w:bidi="ar-SA"/>
    </w:rPr>
  </w:style>
  <w:style w:type="character" w:styleId="FootnoteReference">
    <w:name w:val="footnote reference"/>
    <w:basedOn w:val="DefaultParagraphFont"/>
    <w:uiPriority w:val="99"/>
    <w:rsid w:val="00E02588"/>
    <w:rPr>
      <w:rFonts w:cs="Times New Roman"/>
      <w:vertAlign w:val="superscript"/>
    </w:rPr>
  </w:style>
  <w:style w:type="paragraph" w:styleId="FootnoteText">
    <w:name w:val="footnote text"/>
    <w:basedOn w:val="Normal"/>
    <w:link w:val="FootnoteTextChar"/>
    <w:uiPriority w:val="99"/>
    <w:rsid w:val="00E02588"/>
    <w:rPr>
      <w:sz w:val="20"/>
    </w:rPr>
  </w:style>
  <w:style w:type="character" w:customStyle="1" w:styleId="FootnoteTextChar">
    <w:name w:val="Footnote Text Char"/>
    <w:basedOn w:val="DefaultParagraphFont"/>
    <w:link w:val="FootnoteText"/>
    <w:uiPriority w:val="99"/>
    <w:semiHidden/>
    <w:locked/>
    <w:rsid w:val="00BD33A7"/>
    <w:rPr>
      <w:rFonts w:ascii="Arial" w:hAnsi="Arial" w:cs="Times New Roman"/>
      <w:lang w:eastAsia="ar-SA" w:bidi="ar-SA"/>
    </w:rPr>
  </w:style>
  <w:style w:type="paragraph" w:styleId="NormalWeb">
    <w:name w:val="Normal (Web)"/>
    <w:basedOn w:val="Normal"/>
    <w:uiPriority w:val="99"/>
    <w:rsid w:val="00924027"/>
    <w:pPr>
      <w:spacing w:before="280" w:after="280"/>
    </w:pPr>
    <w:rPr>
      <w:rFonts w:ascii="Times New Roman" w:hAnsi="Times New Roman"/>
      <w:szCs w:val="24"/>
    </w:rPr>
  </w:style>
  <w:style w:type="paragraph" w:customStyle="1" w:styleId="TableContents">
    <w:name w:val="Table Contents"/>
    <w:basedOn w:val="Normal"/>
    <w:uiPriority w:val="99"/>
    <w:rsid w:val="00924027"/>
    <w:pPr>
      <w:suppressLineNumbers/>
    </w:pPr>
  </w:style>
  <w:style w:type="character" w:styleId="Hyperlink">
    <w:name w:val="Hyperlink"/>
    <w:basedOn w:val="DefaultParagraphFont"/>
    <w:uiPriority w:val="99"/>
    <w:rsid w:val="00924027"/>
    <w:rPr>
      <w:rFonts w:cs="Times New Roman"/>
      <w:color w:val="0000FF"/>
      <w:u w:val="single"/>
    </w:rPr>
  </w:style>
  <w:style w:type="paragraph" w:styleId="Header">
    <w:name w:val="header"/>
    <w:basedOn w:val="Normal"/>
    <w:link w:val="HeaderChar"/>
    <w:uiPriority w:val="99"/>
    <w:rsid w:val="00924027"/>
    <w:pPr>
      <w:tabs>
        <w:tab w:val="center" w:pos="4320"/>
        <w:tab w:val="right" w:pos="8640"/>
      </w:tabs>
    </w:pPr>
  </w:style>
  <w:style w:type="character" w:customStyle="1" w:styleId="HeaderChar">
    <w:name w:val="Header Char"/>
    <w:basedOn w:val="DefaultParagraphFont"/>
    <w:link w:val="Header"/>
    <w:uiPriority w:val="99"/>
    <w:semiHidden/>
    <w:locked/>
    <w:rsid w:val="00BD33A7"/>
    <w:rPr>
      <w:rFonts w:ascii="Arial" w:hAnsi="Arial" w:cs="Times New Roman"/>
      <w:sz w:val="24"/>
      <w:lang w:eastAsia="ar-SA" w:bidi="ar-SA"/>
    </w:rPr>
  </w:style>
  <w:style w:type="paragraph" w:styleId="Footer">
    <w:name w:val="footer"/>
    <w:basedOn w:val="Normal"/>
    <w:link w:val="FooterChar"/>
    <w:uiPriority w:val="99"/>
    <w:rsid w:val="00924027"/>
    <w:pPr>
      <w:tabs>
        <w:tab w:val="center" w:pos="4320"/>
        <w:tab w:val="right" w:pos="8640"/>
      </w:tabs>
    </w:pPr>
  </w:style>
  <w:style w:type="character" w:customStyle="1" w:styleId="FooterChar">
    <w:name w:val="Footer Char"/>
    <w:basedOn w:val="DefaultParagraphFont"/>
    <w:link w:val="Footer"/>
    <w:uiPriority w:val="99"/>
    <w:semiHidden/>
    <w:locked/>
    <w:rsid w:val="00BD33A7"/>
    <w:rPr>
      <w:rFonts w:ascii="Arial" w:hAnsi="Arial" w:cs="Times New Roman"/>
      <w:sz w:val="24"/>
      <w:lang w:eastAsia="ar-SA" w:bidi="ar-SA"/>
    </w:rPr>
  </w:style>
  <w:style w:type="table" w:styleId="TableGrid">
    <w:name w:val="Table Grid"/>
    <w:basedOn w:val="TableNormal"/>
    <w:uiPriority w:val="99"/>
    <w:rsid w:val="00687459"/>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F00FC6"/>
    <w:rPr>
      <w:rFonts w:cs="Times New Roman"/>
    </w:rPr>
  </w:style>
  <w:style w:type="character" w:customStyle="1" w:styleId="apple-style-span">
    <w:name w:val="apple-style-span"/>
    <w:uiPriority w:val="99"/>
    <w:rsid w:val="007E5769"/>
  </w:style>
  <w:style w:type="character" w:styleId="Strong">
    <w:name w:val="Strong"/>
    <w:basedOn w:val="DefaultParagraphFont"/>
    <w:uiPriority w:val="99"/>
    <w:qFormat/>
    <w:locked/>
    <w:rsid w:val="00932CC0"/>
    <w:rPr>
      <w:rFonts w:cs="Times New Roman"/>
      <w:b/>
    </w:rPr>
  </w:style>
  <w:style w:type="character" w:customStyle="1" w:styleId="apple-converted-space">
    <w:name w:val="apple-converted-space"/>
    <w:basedOn w:val="DefaultParagraphFont"/>
    <w:uiPriority w:val="99"/>
    <w:rsid w:val="0034128C"/>
    <w:rPr>
      <w:rFonts w:cs="Times New Roman"/>
    </w:rPr>
  </w:style>
  <w:style w:type="character" w:styleId="CommentReference">
    <w:name w:val="annotation reference"/>
    <w:basedOn w:val="DefaultParagraphFont"/>
    <w:uiPriority w:val="99"/>
    <w:locked/>
    <w:rsid w:val="003D7A61"/>
    <w:rPr>
      <w:rFonts w:cs="Times New Roman"/>
      <w:sz w:val="16"/>
    </w:rPr>
  </w:style>
  <w:style w:type="paragraph" w:styleId="CommentText">
    <w:name w:val="annotation text"/>
    <w:basedOn w:val="Normal"/>
    <w:link w:val="CommentTextChar"/>
    <w:uiPriority w:val="99"/>
    <w:locked/>
    <w:rsid w:val="003D7A61"/>
    <w:rPr>
      <w:sz w:val="20"/>
    </w:rPr>
  </w:style>
  <w:style w:type="character" w:customStyle="1" w:styleId="CommentTextChar">
    <w:name w:val="Comment Text Char"/>
    <w:basedOn w:val="DefaultParagraphFont"/>
    <w:link w:val="CommentText"/>
    <w:uiPriority w:val="99"/>
    <w:locked/>
    <w:rsid w:val="003D7A61"/>
    <w:rPr>
      <w:rFonts w:ascii="Arial" w:hAnsi="Arial" w:cs="Times New Roman"/>
      <w:lang w:eastAsia="ar-SA" w:bidi="ar-SA"/>
    </w:rPr>
  </w:style>
  <w:style w:type="paragraph" w:styleId="CommentSubject">
    <w:name w:val="annotation subject"/>
    <w:basedOn w:val="CommentText"/>
    <w:next w:val="CommentText"/>
    <w:link w:val="CommentSubjectChar"/>
    <w:uiPriority w:val="99"/>
    <w:locked/>
    <w:rsid w:val="003D7A61"/>
    <w:rPr>
      <w:b/>
      <w:bCs/>
    </w:rPr>
  </w:style>
  <w:style w:type="character" w:customStyle="1" w:styleId="CommentSubjectChar">
    <w:name w:val="Comment Subject Char"/>
    <w:basedOn w:val="CommentTextChar"/>
    <w:link w:val="CommentSubject"/>
    <w:uiPriority w:val="99"/>
    <w:locked/>
    <w:rsid w:val="003D7A61"/>
    <w:rPr>
      <w:rFonts w:ascii="Arial" w:hAnsi="Arial" w:cs="Times New Roman"/>
      <w:b/>
      <w:lang w:eastAsia="ar-SA" w:bidi="ar-SA"/>
    </w:rPr>
  </w:style>
  <w:style w:type="character" w:styleId="FollowedHyperlink">
    <w:name w:val="FollowedHyperlink"/>
    <w:basedOn w:val="DefaultParagraphFont"/>
    <w:uiPriority w:val="99"/>
    <w:locked/>
    <w:rsid w:val="00DB037B"/>
    <w:rPr>
      <w:rFonts w:cs="Times New Roman"/>
      <w:color w:val="954F72"/>
      <w:u w:val="single"/>
    </w:rPr>
  </w:style>
  <w:style w:type="paragraph" w:styleId="ListParagraph">
    <w:name w:val="List Paragraph"/>
    <w:basedOn w:val="Normal"/>
    <w:uiPriority w:val="34"/>
    <w:qFormat/>
    <w:rsid w:val="002F4261"/>
    <w:pPr>
      <w:ind w:left="720"/>
      <w:contextualSpacing/>
    </w:pPr>
  </w:style>
  <w:style w:type="paragraph" w:styleId="Revision">
    <w:name w:val="Revision"/>
    <w:hidden/>
    <w:uiPriority w:val="99"/>
    <w:semiHidden/>
    <w:rsid w:val="00C81F4E"/>
    <w:rPr>
      <w:rFonts w:ascii="Arial" w:hAnsi="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1313">
      <w:marLeft w:val="0"/>
      <w:marRight w:val="0"/>
      <w:marTop w:val="0"/>
      <w:marBottom w:val="0"/>
      <w:divBdr>
        <w:top w:val="none" w:sz="0" w:space="0" w:color="auto"/>
        <w:left w:val="none" w:sz="0" w:space="0" w:color="auto"/>
        <w:bottom w:val="none" w:sz="0" w:space="0" w:color="auto"/>
        <w:right w:val="none" w:sz="0" w:space="0" w:color="auto"/>
      </w:divBdr>
    </w:div>
    <w:div w:id="20011314">
      <w:marLeft w:val="0"/>
      <w:marRight w:val="0"/>
      <w:marTop w:val="0"/>
      <w:marBottom w:val="0"/>
      <w:divBdr>
        <w:top w:val="none" w:sz="0" w:space="0" w:color="auto"/>
        <w:left w:val="none" w:sz="0" w:space="0" w:color="auto"/>
        <w:bottom w:val="none" w:sz="0" w:space="0" w:color="auto"/>
        <w:right w:val="none" w:sz="0" w:space="0" w:color="auto"/>
      </w:divBdr>
    </w:div>
    <w:div w:id="20011315">
      <w:marLeft w:val="0"/>
      <w:marRight w:val="0"/>
      <w:marTop w:val="0"/>
      <w:marBottom w:val="0"/>
      <w:divBdr>
        <w:top w:val="none" w:sz="0" w:space="0" w:color="auto"/>
        <w:left w:val="none" w:sz="0" w:space="0" w:color="auto"/>
        <w:bottom w:val="none" w:sz="0" w:space="0" w:color="auto"/>
        <w:right w:val="none" w:sz="0" w:space="0" w:color="auto"/>
      </w:divBdr>
    </w:div>
    <w:div w:id="20011316">
      <w:marLeft w:val="0"/>
      <w:marRight w:val="0"/>
      <w:marTop w:val="0"/>
      <w:marBottom w:val="0"/>
      <w:divBdr>
        <w:top w:val="none" w:sz="0" w:space="0" w:color="auto"/>
        <w:left w:val="none" w:sz="0" w:space="0" w:color="auto"/>
        <w:bottom w:val="none" w:sz="0" w:space="0" w:color="auto"/>
        <w:right w:val="none" w:sz="0" w:space="0" w:color="auto"/>
      </w:divBdr>
    </w:div>
    <w:div w:id="20011317">
      <w:marLeft w:val="0"/>
      <w:marRight w:val="0"/>
      <w:marTop w:val="0"/>
      <w:marBottom w:val="0"/>
      <w:divBdr>
        <w:top w:val="none" w:sz="0" w:space="0" w:color="auto"/>
        <w:left w:val="none" w:sz="0" w:space="0" w:color="auto"/>
        <w:bottom w:val="none" w:sz="0" w:space="0" w:color="auto"/>
        <w:right w:val="none" w:sz="0" w:space="0" w:color="auto"/>
      </w:divBdr>
    </w:div>
    <w:div w:id="20011318">
      <w:marLeft w:val="0"/>
      <w:marRight w:val="0"/>
      <w:marTop w:val="0"/>
      <w:marBottom w:val="0"/>
      <w:divBdr>
        <w:top w:val="none" w:sz="0" w:space="0" w:color="auto"/>
        <w:left w:val="none" w:sz="0" w:space="0" w:color="auto"/>
        <w:bottom w:val="none" w:sz="0" w:space="0" w:color="auto"/>
        <w:right w:val="none" w:sz="0" w:space="0" w:color="auto"/>
      </w:divBdr>
    </w:div>
    <w:div w:id="20011319">
      <w:marLeft w:val="450"/>
      <w:marRight w:val="450"/>
      <w:marTop w:val="450"/>
      <w:marBottom w:val="450"/>
      <w:divBdr>
        <w:top w:val="none" w:sz="0" w:space="0" w:color="auto"/>
        <w:left w:val="none" w:sz="0" w:space="0" w:color="auto"/>
        <w:bottom w:val="none" w:sz="0" w:space="0" w:color="auto"/>
        <w:right w:val="none" w:sz="0" w:space="0" w:color="auto"/>
      </w:divBdr>
    </w:div>
    <w:div w:id="20011320">
      <w:marLeft w:val="0"/>
      <w:marRight w:val="0"/>
      <w:marTop w:val="0"/>
      <w:marBottom w:val="0"/>
      <w:divBdr>
        <w:top w:val="none" w:sz="0" w:space="0" w:color="auto"/>
        <w:left w:val="none" w:sz="0" w:space="0" w:color="auto"/>
        <w:bottom w:val="none" w:sz="0" w:space="0" w:color="auto"/>
        <w:right w:val="none" w:sz="0" w:space="0" w:color="auto"/>
      </w:divBdr>
    </w:div>
    <w:div w:id="20011321">
      <w:marLeft w:val="0"/>
      <w:marRight w:val="0"/>
      <w:marTop w:val="0"/>
      <w:marBottom w:val="0"/>
      <w:divBdr>
        <w:top w:val="none" w:sz="0" w:space="0" w:color="auto"/>
        <w:left w:val="none" w:sz="0" w:space="0" w:color="auto"/>
        <w:bottom w:val="none" w:sz="0" w:space="0" w:color="auto"/>
        <w:right w:val="none" w:sz="0" w:space="0" w:color="auto"/>
      </w:divBdr>
    </w:div>
    <w:div w:id="20011322">
      <w:marLeft w:val="0"/>
      <w:marRight w:val="0"/>
      <w:marTop w:val="0"/>
      <w:marBottom w:val="0"/>
      <w:divBdr>
        <w:top w:val="none" w:sz="0" w:space="0" w:color="auto"/>
        <w:left w:val="none" w:sz="0" w:space="0" w:color="auto"/>
        <w:bottom w:val="none" w:sz="0" w:space="0" w:color="auto"/>
        <w:right w:val="none" w:sz="0" w:space="0" w:color="auto"/>
      </w:divBdr>
    </w:div>
    <w:div w:id="222641260">
      <w:bodyDiv w:val="1"/>
      <w:marLeft w:val="0"/>
      <w:marRight w:val="0"/>
      <w:marTop w:val="0"/>
      <w:marBottom w:val="0"/>
      <w:divBdr>
        <w:top w:val="none" w:sz="0" w:space="0" w:color="auto"/>
        <w:left w:val="none" w:sz="0" w:space="0" w:color="auto"/>
        <w:bottom w:val="none" w:sz="0" w:space="0" w:color="auto"/>
        <w:right w:val="none" w:sz="0" w:space="0" w:color="auto"/>
      </w:divBdr>
    </w:div>
    <w:div w:id="309025180">
      <w:bodyDiv w:val="1"/>
      <w:marLeft w:val="0"/>
      <w:marRight w:val="0"/>
      <w:marTop w:val="0"/>
      <w:marBottom w:val="0"/>
      <w:divBdr>
        <w:top w:val="none" w:sz="0" w:space="0" w:color="auto"/>
        <w:left w:val="none" w:sz="0" w:space="0" w:color="auto"/>
        <w:bottom w:val="none" w:sz="0" w:space="0" w:color="auto"/>
        <w:right w:val="none" w:sz="0" w:space="0" w:color="auto"/>
      </w:divBdr>
    </w:div>
    <w:div w:id="519667429">
      <w:bodyDiv w:val="1"/>
      <w:marLeft w:val="0"/>
      <w:marRight w:val="0"/>
      <w:marTop w:val="0"/>
      <w:marBottom w:val="0"/>
      <w:divBdr>
        <w:top w:val="none" w:sz="0" w:space="0" w:color="auto"/>
        <w:left w:val="none" w:sz="0" w:space="0" w:color="auto"/>
        <w:bottom w:val="none" w:sz="0" w:space="0" w:color="auto"/>
        <w:right w:val="none" w:sz="0" w:space="0" w:color="auto"/>
      </w:divBdr>
    </w:div>
    <w:div w:id="817452083">
      <w:bodyDiv w:val="1"/>
      <w:marLeft w:val="0"/>
      <w:marRight w:val="0"/>
      <w:marTop w:val="0"/>
      <w:marBottom w:val="0"/>
      <w:divBdr>
        <w:top w:val="none" w:sz="0" w:space="0" w:color="auto"/>
        <w:left w:val="none" w:sz="0" w:space="0" w:color="auto"/>
        <w:bottom w:val="none" w:sz="0" w:space="0" w:color="auto"/>
        <w:right w:val="none" w:sz="0" w:space="0" w:color="auto"/>
      </w:divBdr>
    </w:div>
    <w:div w:id="1114709788">
      <w:bodyDiv w:val="1"/>
      <w:marLeft w:val="0"/>
      <w:marRight w:val="0"/>
      <w:marTop w:val="0"/>
      <w:marBottom w:val="0"/>
      <w:divBdr>
        <w:top w:val="none" w:sz="0" w:space="0" w:color="auto"/>
        <w:left w:val="none" w:sz="0" w:space="0" w:color="auto"/>
        <w:bottom w:val="none" w:sz="0" w:space="0" w:color="auto"/>
        <w:right w:val="none" w:sz="0" w:space="0" w:color="auto"/>
      </w:divBdr>
    </w:div>
    <w:div w:id="1133519497">
      <w:bodyDiv w:val="1"/>
      <w:marLeft w:val="0"/>
      <w:marRight w:val="0"/>
      <w:marTop w:val="0"/>
      <w:marBottom w:val="0"/>
      <w:divBdr>
        <w:top w:val="none" w:sz="0" w:space="0" w:color="auto"/>
        <w:left w:val="none" w:sz="0" w:space="0" w:color="auto"/>
        <w:bottom w:val="none" w:sz="0" w:space="0" w:color="auto"/>
        <w:right w:val="none" w:sz="0" w:space="0" w:color="auto"/>
      </w:divBdr>
    </w:div>
    <w:div w:id="1571310055">
      <w:bodyDiv w:val="1"/>
      <w:marLeft w:val="0"/>
      <w:marRight w:val="0"/>
      <w:marTop w:val="0"/>
      <w:marBottom w:val="0"/>
      <w:divBdr>
        <w:top w:val="none" w:sz="0" w:space="0" w:color="auto"/>
        <w:left w:val="none" w:sz="0" w:space="0" w:color="auto"/>
        <w:bottom w:val="none" w:sz="0" w:space="0" w:color="auto"/>
        <w:right w:val="none" w:sz="0" w:space="0" w:color="auto"/>
      </w:divBdr>
    </w:div>
    <w:div w:id="175998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fapubs.org/doi/pdf/10.2469/ccb.v2014.n9.1)"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4109</TotalTime>
  <Pages>17</Pages>
  <Words>8446</Words>
  <Characters>48143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56477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Jay Weil</dc:creator>
  <cp:keywords> </cp:keywords>
  <dc:description/>
  <cp:lastModifiedBy>KEN</cp:lastModifiedBy>
  <cp:revision>7</cp:revision>
  <cp:lastPrinted>2014-03-18T18:00:00Z</cp:lastPrinted>
  <dcterms:created xsi:type="dcterms:W3CDTF">2015-03-19T19:07:00Z</dcterms:created>
  <dcterms:modified xsi:type="dcterms:W3CDTF">2017-04-12T19:16:00Z</dcterms:modified>
</cp:coreProperties>
</file>